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F6A329" w14:textId="77777777" w:rsidR="007B15D3" w:rsidRDefault="007B15D3">
      <w:pPr>
        <w:pStyle w:val="a3"/>
        <w:spacing w:before="2"/>
        <w:rPr>
          <w:rFonts w:ascii="Times New Roman"/>
          <w:sz w:val="13"/>
        </w:rPr>
      </w:pPr>
    </w:p>
    <w:p w14:paraId="59DE56A0" w14:textId="77777777" w:rsidR="007B15D3" w:rsidRDefault="00F81558">
      <w:pPr>
        <w:pStyle w:val="1"/>
        <w:spacing w:before="86"/>
      </w:pPr>
      <w:r>
        <w:t>Газоанализаторы 5100 и 5100 HD</w:t>
      </w:r>
    </w:p>
    <w:p w14:paraId="41AE2632" w14:textId="77777777" w:rsidR="007B15D3" w:rsidRDefault="00F81558">
      <w:pPr>
        <w:pStyle w:val="2"/>
        <w:spacing w:before="290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4BCCB8EA" wp14:editId="07DED1C3">
            <wp:simplePos x="0" y="0"/>
            <wp:positionH relativeFrom="page">
              <wp:posOffset>4736591</wp:posOffset>
            </wp:positionH>
            <wp:positionV relativeFrom="paragraph">
              <wp:posOffset>192987</wp:posOffset>
            </wp:positionV>
            <wp:extent cx="1658112" cy="3368040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12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Назначение</w:t>
      </w:r>
    </w:p>
    <w:p w14:paraId="50FC1F7C" w14:textId="77777777" w:rsidR="007B15D3" w:rsidRDefault="00F81558">
      <w:pPr>
        <w:pStyle w:val="a3"/>
        <w:tabs>
          <w:tab w:val="left" w:pos="2533"/>
          <w:tab w:val="left" w:pos="3694"/>
        </w:tabs>
        <w:spacing w:before="103" w:line="244" w:lineRule="auto"/>
        <w:ind w:left="143" w:right="5653"/>
        <w:jc w:val="both"/>
      </w:pPr>
      <w:r>
        <w:t>Газоанализаторы 5100 и 5100 HD предназначены</w:t>
      </w:r>
      <w:r>
        <w:tab/>
        <w:t>для</w:t>
      </w:r>
      <w:r>
        <w:tab/>
        <w:t>определения концентрации двуокиси углерода (CO</w:t>
      </w:r>
      <w:r>
        <w:rPr>
          <w:vertAlign w:val="subscript"/>
        </w:rPr>
        <w:t>2</w:t>
      </w:r>
      <w:r>
        <w:t>), сероводорода (H</w:t>
      </w:r>
      <w:r>
        <w:rPr>
          <w:vertAlign w:val="subscript"/>
        </w:rPr>
        <w:t>2</w:t>
      </w:r>
      <w:r>
        <w:t>S), кислорода (O</w:t>
      </w:r>
      <w:r>
        <w:rPr>
          <w:vertAlign w:val="subscript"/>
        </w:rPr>
        <w:t>2</w:t>
      </w:r>
      <w:r>
        <w:t xml:space="preserve">) и других компонентов, а также определения </w:t>
      </w:r>
      <w:r>
        <w:t xml:space="preserve">влажности в различных, в том числе </w:t>
      </w:r>
      <w:proofErr w:type="gramStart"/>
      <w:r>
        <w:t>многокомпонентных  и</w:t>
      </w:r>
      <w:proofErr w:type="gramEnd"/>
      <w:r>
        <w:t xml:space="preserve"> загрязненных примесями газовых</w:t>
      </w:r>
      <w:r>
        <w:rPr>
          <w:spacing w:val="12"/>
        </w:rPr>
        <w:t xml:space="preserve"> </w:t>
      </w:r>
      <w:r>
        <w:t>потоках.</w:t>
      </w:r>
    </w:p>
    <w:p w14:paraId="7350B149" w14:textId="77777777" w:rsidR="007B15D3" w:rsidRDefault="007B15D3">
      <w:pPr>
        <w:pStyle w:val="a3"/>
        <w:spacing w:before="1"/>
        <w:rPr>
          <w:sz w:val="15"/>
        </w:rPr>
      </w:pPr>
    </w:p>
    <w:p w14:paraId="79AE242B" w14:textId="77777777" w:rsidR="007B15D3" w:rsidRDefault="007B15D3">
      <w:pPr>
        <w:rPr>
          <w:sz w:val="15"/>
        </w:rPr>
        <w:sectPr w:rsidR="007B15D3">
          <w:type w:val="continuous"/>
          <w:pgSz w:w="11900" w:h="16840"/>
          <w:pgMar w:top="360" w:right="560" w:bottom="0" w:left="620" w:header="720" w:footer="720" w:gutter="0"/>
          <w:cols w:space="720"/>
        </w:sectPr>
      </w:pPr>
    </w:p>
    <w:p w14:paraId="28AE8021" w14:textId="77777777" w:rsidR="007B15D3" w:rsidRDefault="00F81558">
      <w:pPr>
        <w:pStyle w:val="a3"/>
        <w:tabs>
          <w:tab w:val="left" w:pos="1894"/>
          <w:tab w:val="left" w:pos="3670"/>
        </w:tabs>
        <w:spacing w:before="93" w:line="244" w:lineRule="auto"/>
        <w:ind w:left="143" w:right="38"/>
        <w:jc w:val="both"/>
      </w:pPr>
      <w:r>
        <w:t>Анализаторы используют метод диодно- лазерной спектроскопии, в котором в качестве источника</w:t>
      </w:r>
      <w:r>
        <w:tab/>
        <w:t>излучения</w:t>
      </w:r>
      <w:r>
        <w:tab/>
        <w:t>используется полупроводниковый лазер с пе</w:t>
      </w:r>
      <w:r>
        <w:t>рестраиваемой длиной волны. Такой метод измерения обеспечивает хорошую селективность по отношению к веществу, концентрация которого определяется, и нечувствительность к другим компонентам и ко многим примесям, присутствующим в реальных газовых</w:t>
      </w:r>
      <w:r>
        <w:rPr>
          <w:spacing w:val="11"/>
        </w:rPr>
        <w:t xml:space="preserve"> </w:t>
      </w:r>
      <w:r>
        <w:t>потоках.</w:t>
      </w:r>
    </w:p>
    <w:p w14:paraId="49764B3A" w14:textId="77777777" w:rsidR="007B15D3" w:rsidRDefault="007B15D3">
      <w:pPr>
        <w:pStyle w:val="a3"/>
        <w:spacing w:before="7"/>
        <w:rPr>
          <w:sz w:val="23"/>
        </w:rPr>
      </w:pPr>
    </w:p>
    <w:p w14:paraId="5A30D6B9" w14:textId="77777777" w:rsidR="007B15D3" w:rsidRDefault="00F81558">
      <w:pPr>
        <w:pStyle w:val="a3"/>
        <w:spacing w:line="244" w:lineRule="auto"/>
        <w:ind w:left="143" w:right="39"/>
        <w:jc w:val="both"/>
      </w:pPr>
      <w:r>
        <w:t>Ан</w:t>
      </w:r>
      <w:r>
        <w:t>ализаторы 5100, 5100 HD предназначены для установки, в том числе, и во взрывоопасных зонах.</w:t>
      </w:r>
    </w:p>
    <w:p w14:paraId="1EAA4B34" w14:textId="77777777" w:rsidR="007B15D3" w:rsidRDefault="007B15D3">
      <w:pPr>
        <w:pStyle w:val="a3"/>
        <w:spacing w:before="10"/>
      </w:pPr>
    </w:p>
    <w:p w14:paraId="0613D51F" w14:textId="77777777" w:rsidR="007B15D3" w:rsidRDefault="00F81558">
      <w:pPr>
        <w:pStyle w:val="2"/>
      </w:pPr>
      <w:r>
        <w:t>Описание</w:t>
      </w:r>
    </w:p>
    <w:p w14:paraId="41E3C7D3" w14:textId="77777777" w:rsidR="007B15D3" w:rsidRDefault="00F81558">
      <w:pPr>
        <w:pStyle w:val="a3"/>
        <w:tabs>
          <w:tab w:val="left" w:pos="1981"/>
          <w:tab w:val="left" w:pos="3834"/>
        </w:tabs>
        <w:spacing w:before="103" w:line="244" w:lineRule="auto"/>
        <w:ind w:left="143" w:right="38"/>
        <w:jc w:val="both"/>
      </w:pPr>
      <w:r>
        <w:t>Работа анализаторов основана на поглощении лазерного излучения в ИК-диапазоне компонентами газовой смеси. Длина волны лазерного</w:t>
      </w:r>
      <w:r>
        <w:tab/>
        <w:t>излучения</w:t>
      </w:r>
      <w:r>
        <w:tab/>
        <w:t>выбирается соотв</w:t>
      </w:r>
      <w:r>
        <w:t xml:space="preserve">етствующей изолированной линии поглощения анализируемого вещества. Излучение лазера модулируется с высокой частотой, и из сигнала детектора выделяется вторая гармоника, интенсивность которой пропорциональна концентрации </w:t>
      </w:r>
      <w:proofErr w:type="spellStart"/>
      <w:proofErr w:type="gramStart"/>
      <w:r>
        <w:t>анализи</w:t>
      </w:r>
      <w:proofErr w:type="spellEnd"/>
      <w:r>
        <w:t xml:space="preserve">- </w:t>
      </w:r>
      <w:proofErr w:type="spellStart"/>
      <w:r>
        <w:t>руемого</w:t>
      </w:r>
      <w:proofErr w:type="spellEnd"/>
      <w:proofErr w:type="gramEnd"/>
      <w:r>
        <w:rPr>
          <w:spacing w:val="3"/>
        </w:rPr>
        <w:t xml:space="preserve"> </w:t>
      </w:r>
      <w:r>
        <w:t>вещества.</w:t>
      </w:r>
    </w:p>
    <w:p w14:paraId="5A75C104" w14:textId="77777777" w:rsidR="007B15D3" w:rsidRDefault="007B15D3">
      <w:pPr>
        <w:pStyle w:val="a3"/>
        <w:spacing w:before="7"/>
        <w:rPr>
          <w:sz w:val="23"/>
        </w:rPr>
      </w:pPr>
    </w:p>
    <w:p w14:paraId="727AAEB6" w14:textId="77777777" w:rsidR="007B15D3" w:rsidRDefault="00F81558">
      <w:pPr>
        <w:pStyle w:val="a3"/>
        <w:spacing w:line="244" w:lineRule="auto"/>
        <w:ind w:left="143" w:right="39"/>
        <w:jc w:val="both"/>
      </w:pPr>
      <w:r>
        <w:t>Для наде</w:t>
      </w:r>
      <w:r>
        <w:t xml:space="preserve">жности и минимизации погрешности измерения анализаторы имеют встроенную систему проверки, включающую </w:t>
      </w:r>
      <w:proofErr w:type="spellStart"/>
      <w:r>
        <w:t>референсную</w:t>
      </w:r>
      <w:proofErr w:type="spellEnd"/>
      <w:r>
        <w:t xml:space="preserve"> ячейку с известной концентрацией анализируемого компонента. Это дает возможность в режиме реального времени контролировать захват необходимой л</w:t>
      </w:r>
      <w:r>
        <w:t>инии поглощения излучением лазера и исключает</w:t>
      </w:r>
    </w:p>
    <w:p w14:paraId="678D6A69" w14:textId="77777777" w:rsidR="007B15D3" w:rsidRDefault="00F81558">
      <w:pPr>
        <w:pStyle w:val="a3"/>
        <w:spacing w:before="9"/>
        <w:ind w:left="143"/>
        <w:jc w:val="both"/>
      </w:pPr>
      <w:r>
        <w:t>«уход частоты».</w:t>
      </w:r>
    </w:p>
    <w:p w14:paraId="3738265F" w14:textId="77777777" w:rsidR="007B15D3" w:rsidRDefault="007B15D3">
      <w:pPr>
        <w:pStyle w:val="a3"/>
        <w:spacing w:before="1"/>
        <w:rPr>
          <w:sz w:val="23"/>
        </w:rPr>
      </w:pPr>
    </w:p>
    <w:p w14:paraId="0024D764" w14:textId="77777777" w:rsidR="007B15D3" w:rsidRDefault="00F81558">
      <w:pPr>
        <w:pStyle w:val="a3"/>
        <w:spacing w:line="244" w:lineRule="auto"/>
        <w:ind w:left="143" w:right="40"/>
        <w:jc w:val="both"/>
      </w:pPr>
      <w:r>
        <w:t xml:space="preserve">Анализаторы интегрированы с системой </w:t>
      </w:r>
      <w:proofErr w:type="spellStart"/>
      <w:r>
        <w:t>пробоподготовки</w:t>
      </w:r>
      <w:proofErr w:type="spellEnd"/>
      <w:r>
        <w:t xml:space="preserve"> в едином полевом блоке. Возможна вертикальная (5100) или горизонтальная (5100 HD) конструкция.</w:t>
      </w:r>
    </w:p>
    <w:p w14:paraId="2067D8BE" w14:textId="77777777" w:rsidR="007B15D3" w:rsidRDefault="00F81558">
      <w:pPr>
        <w:pStyle w:val="a3"/>
        <w:rPr>
          <w:sz w:val="24"/>
        </w:rPr>
      </w:pPr>
      <w:r>
        <w:br w:type="column"/>
      </w:r>
    </w:p>
    <w:p w14:paraId="4AF2BA74" w14:textId="77777777" w:rsidR="007B15D3" w:rsidRDefault="007B15D3">
      <w:pPr>
        <w:pStyle w:val="a3"/>
        <w:rPr>
          <w:sz w:val="24"/>
        </w:rPr>
      </w:pPr>
    </w:p>
    <w:p w14:paraId="5CE7DCAA" w14:textId="77777777" w:rsidR="007B15D3" w:rsidRDefault="007B15D3">
      <w:pPr>
        <w:pStyle w:val="a3"/>
        <w:rPr>
          <w:sz w:val="24"/>
        </w:rPr>
      </w:pPr>
    </w:p>
    <w:p w14:paraId="46094E82" w14:textId="77777777" w:rsidR="007B15D3" w:rsidRDefault="007B15D3">
      <w:pPr>
        <w:pStyle w:val="a3"/>
        <w:rPr>
          <w:sz w:val="24"/>
        </w:rPr>
      </w:pPr>
    </w:p>
    <w:p w14:paraId="6E15A884" w14:textId="77777777" w:rsidR="007B15D3" w:rsidRDefault="007B15D3">
      <w:pPr>
        <w:pStyle w:val="a3"/>
        <w:rPr>
          <w:sz w:val="24"/>
        </w:rPr>
      </w:pPr>
    </w:p>
    <w:p w14:paraId="4FEEC13E" w14:textId="77777777" w:rsidR="007B15D3" w:rsidRDefault="007B15D3">
      <w:pPr>
        <w:pStyle w:val="a3"/>
        <w:rPr>
          <w:sz w:val="24"/>
        </w:rPr>
      </w:pPr>
    </w:p>
    <w:p w14:paraId="157859F1" w14:textId="77777777" w:rsidR="007B15D3" w:rsidRDefault="007B15D3">
      <w:pPr>
        <w:pStyle w:val="a3"/>
        <w:rPr>
          <w:sz w:val="24"/>
        </w:rPr>
      </w:pPr>
    </w:p>
    <w:p w14:paraId="451F340A" w14:textId="77777777" w:rsidR="007B15D3" w:rsidRDefault="007B15D3">
      <w:pPr>
        <w:pStyle w:val="a3"/>
        <w:rPr>
          <w:sz w:val="24"/>
        </w:rPr>
      </w:pPr>
    </w:p>
    <w:p w14:paraId="591C3408" w14:textId="77777777" w:rsidR="007B15D3" w:rsidRDefault="007B15D3">
      <w:pPr>
        <w:pStyle w:val="a3"/>
        <w:rPr>
          <w:sz w:val="24"/>
        </w:rPr>
      </w:pPr>
    </w:p>
    <w:p w14:paraId="2A04ECED" w14:textId="77777777" w:rsidR="007B15D3" w:rsidRDefault="007B15D3">
      <w:pPr>
        <w:pStyle w:val="a3"/>
        <w:rPr>
          <w:sz w:val="24"/>
        </w:rPr>
      </w:pPr>
    </w:p>
    <w:p w14:paraId="1A0207A8" w14:textId="77777777" w:rsidR="007B15D3" w:rsidRDefault="007B15D3">
      <w:pPr>
        <w:pStyle w:val="a3"/>
        <w:spacing w:before="2"/>
        <w:rPr>
          <w:sz w:val="28"/>
        </w:rPr>
      </w:pPr>
    </w:p>
    <w:p w14:paraId="5AEC7D6A" w14:textId="77777777" w:rsidR="007B15D3" w:rsidRDefault="00F81558">
      <w:pPr>
        <w:pStyle w:val="a3"/>
        <w:spacing w:line="244" w:lineRule="auto"/>
        <w:ind w:left="143" w:right="113"/>
        <w:jc w:val="both"/>
      </w:pPr>
      <w:r>
        <w:t>Исполнение корпуса IP 65 позволяет в определенных климатических условиях эксплуатировать анализа</w:t>
      </w:r>
      <w:r>
        <w:t xml:space="preserve">торы на открытых площадках без дополнительных шкафов и </w:t>
      </w:r>
      <w:proofErr w:type="spellStart"/>
      <w:r>
        <w:t>шелтеров</w:t>
      </w:r>
      <w:proofErr w:type="spellEnd"/>
      <w:r>
        <w:t>.</w:t>
      </w:r>
    </w:p>
    <w:p w14:paraId="3D942CFD" w14:textId="77777777" w:rsidR="007B15D3" w:rsidRDefault="007B15D3">
      <w:pPr>
        <w:pStyle w:val="a3"/>
        <w:rPr>
          <w:sz w:val="23"/>
        </w:rPr>
      </w:pPr>
    </w:p>
    <w:p w14:paraId="788ECBCF" w14:textId="77777777" w:rsidR="007B15D3" w:rsidRDefault="00F81558">
      <w:pPr>
        <w:pStyle w:val="a3"/>
        <w:spacing w:before="1" w:line="244" w:lineRule="auto"/>
        <w:ind w:left="143" w:right="144"/>
        <w:jc w:val="both"/>
      </w:pPr>
      <w:r>
        <w:t>Мембранный фильтр на входе защищает анализаторы от загрязнения аэрозолями, механическими примесями и конденсатом.</w:t>
      </w:r>
    </w:p>
    <w:p w14:paraId="192DC59A" w14:textId="77777777" w:rsidR="007B15D3" w:rsidRDefault="007B15D3">
      <w:pPr>
        <w:pStyle w:val="a3"/>
        <w:spacing w:before="9"/>
      </w:pPr>
    </w:p>
    <w:p w14:paraId="0C027319" w14:textId="77777777" w:rsidR="007B15D3" w:rsidRDefault="00F81558">
      <w:pPr>
        <w:pStyle w:val="a3"/>
        <w:tabs>
          <w:tab w:val="left" w:pos="2010"/>
          <w:tab w:val="left" w:pos="3732"/>
        </w:tabs>
        <w:spacing w:line="244" w:lineRule="auto"/>
        <w:ind w:left="143" w:right="142"/>
        <w:jc w:val="both"/>
      </w:pPr>
      <w:r>
        <w:t>Основными</w:t>
      </w:r>
      <w:r>
        <w:tab/>
        <w:t>задачами,</w:t>
      </w:r>
      <w:r>
        <w:tab/>
      </w:r>
      <w:r>
        <w:t xml:space="preserve">решаемыми лазерными анализаторами, являются измерения концентрации веществ в природном газе. Возможен анализ двух </w:t>
      </w:r>
      <w:proofErr w:type="gramStart"/>
      <w:r>
        <w:t>компонентов  одновременно</w:t>
      </w:r>
      <w:proofErr w:type="gramEnd"/>
      <w:r>
        <w:t xml:space="preserve">  (анализатор 5100 HD). Анализаторы могут быть сконфигурированы и для других задач газового</w:t>
      </w:r>
      <w:r>
        <w:rPr>
          <w:spacing w:val="3"/>
        </w:rPr>
        <w:t xml:space="preserve"> </w:t>
      </w:r>
      <w:r>
        <w:t>анализа.</w:t>
      </w:r>
    </w:p>
    <w:p w14:paraId="55064ADE" w14:textId="77777777" w:rsidR="007B15D3" w:rsidRDefault="007B15D3">
      <w:pPr>
        <w:pStyle w:val="a3"/>
        <w:spacing w:before="6"/>
        <w:rPr>
          <w:sz w:val="25"/>
        </w:rPr>
      </w:pPr>
    </w:p>
    <w:p w14:paraId="6D72F6BF" w14:textId="77777777" w:rsidR="007B15D3" w:rsidRDefault="00F81558">
      <w:pPr>
        <w:pStyle w:val="2"/>
      </w:pPr>
      <w:r>
        <w:t>Особенности</w:t>
      </w:r>
    </w:p>
    <w:p w14:paraId="6E70DDE4" w14:textId="77777777" w:rsidR="007B15D3" w:rsidRDefault="00F81558">
      <w:pPr>
        <w:pStyle w:val="a4"/>
        <w:numPr>
          <w:ilvl w:val="0"/>
          <w:numId w:val="2"/>
        </w:numPr>
        <w:tabs>
          <w:tab w:val="left" w:pos="296"/>
        </w:tabs>
        <w:spacing w:before="199"/>
        <w:ind w:left="295"/>
        <w:jc w:val="both"/>
        <w:rPr>
          <w:rFonts w:ascii="Symbol" w:hAnsi="Symbol"/>
          <w:i/>
          <w:sz w:val="18"/>
        </w:rPr>
      </w:pPr>
      <w:r>
        <w:rPr>
          <w:i/>
        </w:rPr>
        <w:t>Встроенная система</w:t>
      </w:r>
      <w:r>
        <w:rPr>
          <w:i/>
          <w:spacing w:val="7"/>
        </w:rPr>
        <w:t xml:space="preserve"> </w:t>
      </w:r>
      <w:r>
        <w:rPr>
          <w:i/>
        </w:rPr>
        <w:t>проверки</w:t>
      </w:r>
    </w:p>
    <w:p w14:paraId="7AFD723B" w14:textId="77777777" w:rsidR="007B15D3" w:rsidRDefault="00F81558">
      <w:pPr>
        <w:pStyle w:val="a4"/>
        <w:numPr>
          <w:ilvl w:val="0"/>
          <w:numId w:val="2"/>
        </w:numPr>
        <w:tabs>
          <w:tab w:val="left" w:pos="296"/>
        </w:tabs>
        <w:spacing w:before="11" w:line="249" w:lineRule="auto"/>
        <w:ind w:right="336" w:firstLine="0"/>
        <w:jc w:val="both"/>
        <w:rPr>
          <w:rFonts w:ascii="Symbol" w:hAnsi="Symbol"/>
          <w:i/>
          <w:sz w:val="18"/>
        </w:rPr>
      </w:pPr>
      <w:r>
        <w:rPr>
          <w:sz w:val="20"/>
        </w:rPr>
        <w:t>Н</w:t>
      </w:r>
      <w:r>
        <w:rPr>
          <w:i/>
        </w:rPr>
        <w:t>ечувствительность к примесям аминов, гликолей, метанола, меркаптанов и других примесей</w:t>
      </w:r>
    </w:p>
    <w:p w14:paraId="68142BC1" w14:textId="77777777" w:rsidR="007B15D3" w:rsidRDefault="00F81558">
      <w:pPr>
        <w:pStyle w:val="a4"/>
        <w:numPr>
          <w:ilvl w:val="0"/>
          <w:numId w:val="2"/>
        </w:numPr>
        <w:tabs>
          <w:tab w:val="left" w:pos="296"/>
        </w:tabs>
        <w:ind w:left="295"/>
        <w:jc w:val="both"/>
        <w:rPr>
          <w:rFonts w:ascii="Symbol" w:hAnsi="Symbol"/>
          <w:i/>
          <w:sz w:val="18"/>
        </w:rPr>
      </w:pPr>
      <w:r>
        <w:rPr>
          <w:i/>
        </w:rPr>
        <w:t>Цифровая 32-х битная обработка</w:t>
      </w:r>
      <w:r>
        <w:rPr>
          <w:i/>
          <w:spacing w:val="13"/>
        </w:rPr>
        <w:t xml:space="preserve"> </w:t>
      </w:r>
      <w:r>
        <w:rPr>
          <w:i/>
        </w:rPr>
        <w:t>сигнала</w:t>
      </w:r>
    </w:p>
    <w:p w14:paraId="68DF81B9" w14:textId="77777777" w:rsidR="007B15D3" w:rsidRDefault="00F81558">
      <w:pPr>
        <w:pStyle w:val="a4"/>
        <w:numPr>
          <w:ilvl w:val="0"/>
          <w:numId w:val="2"/>
        </w:numPr>
        <w:tabs>
          <w:tab w:val="left" w:pos="296"/>
        </w:tabs>
        <w:spacing w:before="11" w:line="249" w:lineRule="auto"/>
        <w:ind w:right="1942" w:firstLine="0"/>
        <w:rPr>
          <w:rFonts w:ascii="Symbol" w:hAnsi="Symbol"/>
          <w:i/>
          <w:sz w:val="18"/>
        </w:rPr>
      </w:pPr>
      <w:r>
        <w:rPr>
          <w:i/>
        </w:rPr>
        <w:t xml:space="preserve">Интегрированная система </w:t>
      </w:r>
      <w:proofErr w:type="spellStart"/>
      <w:r>
        <w:rPr>
          <w:i/>
        </w:rPr>
        <w:t>пробоподготовки</w:t>
      </w:r>
      <w:proofErr w:type="spellEnd"/>
    </w:p>
    <w:p w14:paraId="618084A6" w14:textId="77777777" w:rsidR="007B15D3" w:rsidRDefault="00F81558">
      <w:pPr>
        <w:pStyle w:val="a4"/>
        <w:numPr>
          <w:ilvl w:val="0"/>
          <w:numId w:val="2"/>
        </w:numPr>
        <w:tabs>
          <w:tab w:val="left" w:pos="296"/>
        </w:tabs>
        <w:spacing w:line="249" w:lineRule="auto"/>
        <w:ind w:right="387" w:firstLine="0"/>
        <w:rPr>
          <w:rFonts w:ascii="Symbol" w:hAnsi="Symbol"/>
          <w:i/>
          <w:sz w:val="18"/>
        </w:rPr>
      </w:pPr>
      <w:r>
        <w:rPr>
          <w:i/>
        </w:rPr>
        <w:t xml:space="preserve">Аналоговые и цифровые выходы, включая интерфейсы </w:t>
      </w:r>
      <w:r>
        <w:rPr>
          <w:i/>
        </w:rPr>
        <w:t xml:space="preserve">RS232, </w:t>
      </w:r>
      <w:proofErr w:type="spellStart"/>
      <w:r>
        <w:rPr>
          <w:i/>
        </w:rPr>
        <w:t>Modbus</w:t>
      </w:r>
      <w:proofErr w:type="spellEnd"/>
      <w:r>
        <w:rPr>
          <w:i/>
        </w:rPr>
        <w:t>,</w:t>
      </w:r>
      <w:r>
        <w:rPr>
          <w:i/>
          <w:spacing w:val="9"/>
        </w:rPr>
        <w:t xml:space="preserve"> </w:t>
      </w:r>
      <w:proofErr w:type="spellStart"/>
      <w:r>
        <w:rPr>
          <w:i/>
        </w:rPr>
        <w:t>Ethernet</w:t>
      </w:r>
      <w:proofErr w:type="spellEnd"/>
    </w:p>
    <w:p w14:paraId="1A6DCA78" w14:textId="77777777" w:rsidR="007B15D3" w:rsidRDefault="007B15D3">
      <w:pPr>
        <w:spacing w:line="249" w:lineRule="auto"/>
        <w:rPr>
          <w:rFonts w:ascii="Symbol" w:hAnsi="Symbol"/>
          <w:sz w:val="18"/>
        </w:rPr>
        <w:sectPr w:rsidR="007B15D3">
          <w:type w:val="continuous"/>
          <w:pgSz w:w="11900" w:h="16840"/>
          <w:pgMar w:top="360" w:right="560" w:bottom="0" w:left="620" w:header="720" w:footer="720" w:gutter="0"/>
          <w:cols w:num="2" w:space="720" w:equalWidth="0">
            <w:col w:w="5105" w:space="468"/>
            <w:col w:w="5147"/>
          </w:cols>
        </w:sectPr>
      </w:pPr>
    </w:p>
    <w:p w14:paraId="00FD223B" w14:textId="77777777" w:rsidR="007B15D3" w:rsidRDefault="007B15D3">
      <w:pPr>
        <w:pStyle w:val="a3"/>
        <w:rPr>
          <w:i/>
          <w:sz w:val="20"/>
        </w:rPr>
      </w:pPr>
    </w:p>
    <w:p w14:paraId="0A16F399" w14:textId="77777777" w:rsidR="007B15D3" w:rsidRDefault="007B15D3">
      <w:pPr>
        <w:pStyle w:val="a3"/>
        <w:spacing w:before="4"/>
        <w:rPr>
          <w:i/>
          <w:sz w:val="16"/>
        </w:rPr>
      </w:pPr>
    </w:p>
    <w:p w14:paraId="2D8BF6F9" w14:textId="77777777" w:rsidR="007B15D3" w:rsidRDefault="00F81558">
      <w:pPr>
        <w:pStyle w:val="a3"/>
        <w:ind w:left="4136"/>
        <w:rPr>
          <w:sz w:val="20"/>
        </w:rPr>
      </w:pPr>
      <w:r>
        <w:rPr>
          <w:sz w:val="20"/>
        </w:rPr>
      </w:r>
      <w:r>
        <w:rPr>
          <w:sz w:val="20"/>
        </w:rPr>
        <w:pict w14:anchorId="4F390E7E">
          <v:group id="_x0000_s1028" style="width:129.2pt;height:19.6pt;mso-position-horizontal-relative:char;mso-position-vertical-relative:line" coordsize="2584,39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width:450;height:388">
              <v:imagedata r:id="rId6" o:title=""/>
            </v:shape>
            <v:shape id="_x0000_s1032" style="position:absolute;left:453;top:34;width:524;height:354" coordorigin="453,35" coordsize="524,354" path="m973,35r-176,l715,206,633,35r-180,l453,388r125,l582,225r79,163l770,388,848,229r,159l977,388,973,35xe" fillcolor="black" stroked="f">
              <v:path arrowok="t"/>
            </v:shape>
            <v:shape id="_x0000_s1031" type="#_x0000_t75" style="position:absolute;left:1039;top:34;width:743;height:357">
              <v:imagedata r:id="rId7" o:title=""/>
            </v:shape>
            <v:shape id="_x0000_s1030" style="position:absolute;left:1817;top:38;width:333;height:354" coordorigin="1817,38" coordsize="333,354" path="m2150,38r-333,l1817,132r,30l1817,252r,42l1817,392r333,l2150,294r-200,l1950,252r196,l2146,162r-196,l1950,132r200,l2150,38xe" fillcolor="black" stroked="f">
              <v:path arrowok="t"/>
            </v:shape>
            <v:shape id="_x0000_s1029" type="#_x0000_t75" style="position:absolute;left:2200;top:34;width:383;height:354">
              <v:imagedata r:id="rId8" o:title=""/>
            </v:shape>
            <w10:anchorlock/>
          </v:group>
        </w:pict>
      </w:r>
    </w:p>
    <w:p w14:paraId="6D8E6AE2" w14:textId="77777777" w:rsidR="007B15D3" w:rsidRDefault="007B15D3">
      <w:pPr>
        <w:pStyle w:val="a3"/>
        <w:spacing w:before="5"/>
        <w:rPr>
          <w:i/>
          <w:sz w:val="5"/>
        </w:rPr>
      </w:pPr>
    </w:p>
    <w:p w14:paraId="0BA7600C" w14:textId="77777777" w:rsidR="007B15D3" w:rsidRDefault="00F81558">
      <w:pPr>
        <w:pStyle w:val="a3"/>
        <w:spacing w:line="88" w:lineRule="exact"/>
        <w:ind w:left="4148"/>
        <w:rPr>
          <w:sz w:val="8"/>
        </w:rPr>
      </w:pPr>
      <w:r>
        <w:rPr>
          <w:noProof/>
          <w:position w:val="-1"/>
          <w:sz w:val="8"/>
        </w:rPr>
        <w:drawing>
          <wp:inline distT="0" distB="0" distL="0" distR="0" wp14:anchorId="5AEDEA30" wp14:editId="743E1B49">
            <wp:extent cx="1614019" cy="56007"/>
            <wp:effectExtent l="0" t="0" r="0" b="0"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019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C5280" w14:textId="77777777" w:rsidR="007B15D3" w:rsidRDefault="007B15D3">
      <w:pPr>
        <w:spacing w:line="88" w:lineRule="exact"/>
        <w:rPr>
          <w:sz w:val="8"/>
        </w:rPr>
        <w:sectPr w:rsidR="007B15D3">
          <w:type w:val="continuous"/>
          <w:pgSz w:w="11900" w:h="16840"/>
          <w:pgMar w:top="360" w:right="560" w:bottom="0" w:left="620" w:header="720" w:footer="720" w:gutter="0"/>
          <w:cols w:space="720"/>
        </w:sectPr>
      </w:pPr>
    </w:p>
    <w:p w14:paraId="6C95BD6E" w14:textId="77777777" w:rsidR="007B15D3" w:rsidRDefault="00F81558">
      <w:pPr>
        <w:pStyle w:val="1"/>
      </w:pPr>
      <w:r>
        <w:lastRenderedPageBreak/>
        <w:t>Газоанализаторы 5100, 5100 HD</w:t>
      </w:r>
    </w:p>
    <w:p w14:paraId="4791295C" w14:textId="77777777" w:rsidR="007B15D3" w:rsidRDefault="00F81558">
      <w:pPr>
        <w:pStyle w:val="2"/>
        <w:spacing w:before="247"/>
      </w:pPr>
      <w:r>
        <w:t>Технические характеристики</w:t>
      </w:r>
    </w:p>
    <w:p w14:paraId="26EC86C4" w14:textId="77777777" w:rsidR="007B15D3" w:rsidRDefault="007B15D3">
      <w:pPr>
        <w:pStyle w:val="a3"/>
        <w:spacing w:before="11"/>
        <w:rPr>
          <w:b/>
          <w:i/>
          <w:sz w:val="18"/>
        </w:rPr>
      </w:pPr>
    </w:p>
    <w:tbl>
      <w:tblPr>
        <w:tblStyle w:val="TableNormal"/>
        <w:tblW w:w="0" w:type="auto"/>
        <w:tblInd w:w="1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2"/>
        <w:gridCol w:w="6499"/>
      </w:tblGrid>
      <w:tr w:rsidR="007B15D3" w14:paraId="38D2C3DA" w14:textId="77777777">
        <w:trPr>
          <w:trHeight w:val="1487"/>
        </w:trPr>
        <w:tc>
          <w:tcPr>
            <w:tcW w:w="3552" w:type="dxa"/>
            <w:shd w:val="clear" w:color="auto" w:fill="D8D8D8"/>
          </w:tcPr>
          <w:p w14:paraId="5AFAC699" w14:textId="77777777" w:rsidR="007B15D3" w:rsidRDefault="00F81558">
            <w:pPr>
              <w:pStyle w:val="TableParagraph"/>
              <w:rPr>
                <w:b/>
              </w:rPr>
            </w:pPr>
            <w:r>
              <w:rPr>
                <w:b/>
              </w:rPr>
              <w:t>Диапазоны измерения</w:t>
            </w:r>
          </w:p>
        </w:tc>
        <w:tc>
          <w:tcPr>
            <w:tcW w:w="6499" w:type="dxa"/>
            <w:shd w:val="clear" w:color="auto" w:fill="D8D8D8"/>
          </w:tcPr>
          <w:p w14:paraId="61A1BAAA" w14:textId="77777777" w:rsidR="007B15D3" w:rsidRDefault="00F81558">
            <w:pPr>
              <w:pStyle w:val="TableParagraph"/>
              <w:spacing w:before="4"/>
            </w:pPr>
            <w:r>
              <w:t>CO</w:t>
            </w:r>
            <w:r>
              <w:rPr>
                <w:vertAlign w:val="subscript"/>
              </w:rPr>
              <w:t>2</w:t>
            </w:r>
            <w:r>
              <w:t>: 0 … 25%</w:t>
            </w:r>
          </w:p>
          <w:p w14:paraId="1482F8DB" w14:textId="77777777" w:rsidR="007B15D3" w:rsidRDefault="00F81558">
            <w:pPr>
              <w:pStyle w:val="TableParagraph"/>
              <w:spacing w:before="54"/>
            </w:pPr>
            <w:r>
              <w:t>H</w:t>
            </w:r>
            <w:r>
              <w:rPr>
                <w:vertAlign w:val="subscript"/>
              </w:rPr>
              <w:t>2</w:t>
            </w:r>
            <w:r>
              <w:t>S: от 0 … 5% до 0 … 50%</w:t>
            </w:r>
          </w:p>
          <w:p w14:paraId="7F91AF03" w14:textId="77777777" w:rsidR="007B15D3" w:rsidRDefault="00F81558">
            <w:pPr>
              <w:pStyle w:val="TableParagraph"/>
              <w:tabs>
                <w:tab w:val="left" w:pos="736"/>
              </w:tabs>
              <w:spacing w:before="55"/>
            </w:pPr>
            <w:r>
              <w:t>O</w:t>
            </w:r>
            <w:r>
              <w:rPr>
                <w:vertAlign w:val="subscript"/>
              </w:rPr>
              <w:t>2</w:t>
            </w:r>
            <w:r>
              <w:t>:</w:t>
            </w:r>
            <w:r>
              <w:tab/>
              <w:t>от 0,1 … 5% до 5 …</w:t>
            </w:r>
            <w:r>
              <w:rPr>
                <w:spacing w:val="15"/>
              </w:rPr>
              <w:t xml:space="preserve"> </w:t>
            </w:r>
            <w:r>
              <w:t>100%</w:t>
            </w:r>
          </w:p>
          <w:p w14:paraId="12F414E8" w14:textId="77777777" w:rsidR="007B15D3" w:rsidRDefault="00F81558">
            <w:pPr>
              <w:pStyle w:val="TableParagraph"/>
              <w:spacing w:before="54" w:line="244" w:lineRule="auto"/>
            </w:pPr>
            <w:r>
              <w:t>H</w:t>
            </w:r>
            <w:r>
              <w:rPr>
                <w:vertAlign w:val="subscript"/>
              </w:rPr>
              <w:t>2</w:t>
            </w:r>
            <w:r>
              <w:t xml:space="preserve">O: 4…2500 </w:t>
            </w:r>
            <w:proofErr w:type="spellStart"/>
            <w:r>
              <w:t>ppmv</w:t>
            </w:r>
            <w:proofErr w:type="spellEnd"/>
            <w:r>
              <w:t xml:space="preserve"> (от 2500 до 10000 </w:t>
            </w:r>
            <w:proofErr w:type="spellStart"/>
            <w:r>
              <w:t>ppmv</w:t>
            </w:r>
            <w:proofErr w:type="spellEnd"/>
            <w:r>
              <w:t xml:space="preserve"> – диапазон показаний)</w:t>
            </w:r>
          </w:p>
        </w:tc>
      </w:tr>
      <w:tr w:rsidR="007B15D3" w14:paraId="230581EF" w14:textId="77777777">
        <w:trPr>
          <w:trHeight w:val="796"/>
        </w:trPr>
        <w:tc>
          <w:tcPr>
            <w:tcW w:w="3552" w:type="dxa"/>
          </w:tcPr>
          <w:p w14:paraId="08B0452F" w14:textId="77777777" w:rsidR="007B15D3" w:rsidRDefault="00F81558">
            <w:pPr>
              <w:pStyle w:val="TableParagraph"/>
              <w:rPr>
                <w:b/>
              </w:rPr>
            </w:pPr>
            <w:r>
              <w:rPr>
                <w:b/>
              </w:rPr>
              <w:t>Погрешность</w:t>
            </w:r>
          </w:p>
        </w:tc>
        <w:tc>
          <w:tcPr>
            <w:tcW w:w="6499" w:type="dxa"/>
          </w:tcPr>
          <w:p w14:paraId="6D5ADE62" w14:textId="77777777" w:rsidR="007B15D3" w:rsidRDefault="00F81558">
            <w:pPr>
              <w:pStyle w:val="TableParagraph"/>
              <w:spacing w:before="66"/>
            </w:pPr>
            <w:r w:rsidRPr="00F81558">
              <w:rPr>
                <w:lang w:val="en-US"/>
              </w:rPr>
              <w:t>CO</w:t>
            </w:r>
            <w:r w:rsidRPr="00F81558">
              <w:rPr>
                <w:vertAlign w:val="subscript"/>
                <w:lang w:val="en-US"/>
              </w:rPr>
              <w:t>2</w:t>
            </w:r>
            <w:r w:rsidRPr="00F81558">
              <w:rPr>
                <w:lang w:val="en-US"/>
              </w:rPr>
              <w:t>, H</w:t>
            </w:r>
            <w:r w:rsidRPr="00F81558">
              <w:rPr>
                <w:vertAlign w:val="subscript"/>
                <w:lang w:val="en-US"/>
              </w:rPr>
              <w:t>2</w:t>
            </w:r>
            <w:r w:rsidRPr="00F81558">
              <w:rPr>
                <w:lang w:val="en-US"/>
              </w:rPr>
              <w:t>S, O</w:t>
            </w:r>
            <w:r w:rsidRPr="00F81558">
              <w:rPr>
                <w:vertAlign w:val="subscript"/>
                <w:lang w:val="en-US"/>
              </w:rPr>
              <w:t>2</w:t>
            </w:r>
            <w:r w:rsidRPr="00F81558">
              <w:rPr>
                <w:lang w:val="en-US"/>
              </w:rPr>
              <w:t xml:space="preserve">: </w:t>
            </w:r>
            <w:r>
              <w:rPr>
                <w:rFonts w:ascii="Symbol" w:hAnsi="Symbol"/>
              </w:rPr>
              <w:t></w:t>
            </w:r>
            <w:r w:rsidRPr="00F81558">
              <w:rPr>
                <w:rFonts w:ascii="Times New Roman" w:hAnsi="Times New Roman"/>
                <w:lang w:val="en-US"/>
              </w:rPr>
              <w:t xml:space="preserve"> </w:t>
            </w:r>
            <w:r w:rsidRPr="00F81558">
              <w:rPr>
                <w:lang w:val="en-US"/>
              </w:rPr>
              <w:t xml:space="preserve">0,1% </w:t>
            </w:r>
            <w:proofErr w:type="spellStart"/>
            <w:r>
              <w:t>абс</w:t>
            </w:r>
            <w:proofErr w:type="spellEnd"/>
            <w:r w:rsidRPr="00F81558">
              <w:rPr>
                <w:lang w:val="en-US"/>
              </w:rPr>
              <w:t xml:space="preserve">. </w:t>
            </w:r>
            <w:r>
              <w:t>или</w:t>
            </w:r>
            <w:r w:rsidRPr="00F81558">
              <w:rPr>
                <w:lang w:val="en-US"/>
              </w:rPr>
              <w:t xml:space="preserve"> </w:t>
            </w:r>
            <w:r>
              <w:rPr>
                <w:rFonts w:ascii="Symbol" w:hAnsi="Symbol"/>
              </w:rPr>
              <w:t></w:t>
            </w:r>
            <w:r w:rsidRPr="00F81558">
              <w:rPr>
                <w:rFonts w:ascii="Times New Roman" w:hAnsi="Times New Roman"/>
                <w:lang w:val="en-US"/>
              </w:rPr>
              <w:t xml:space="preserve"> </w:t>
            </w:r>
            <w:r w:rsidRPr="00F81558">
              <w:rPr>
                <w:lang w:val="en-US"/>
              </w:rPr>
              <w:t xml:space="preserve">2% </w:t>
            </w:r>
            <w:proofErr w:type="spellStart"/>
            <w:r>
              <w:t>отн</w:t>
            </w:r>
            <w:proofErr w:type="spellEnd"/>
            <w:r w:rsidRPr="00F81558">
              <w:rPr>
                <w:lang w:val="en-US"/>
              </w:rPr>
              <w:t xml:space="preserve">. </w:t>
            </w:r>
            <w:r>
              <w:t>(что больше)</w:t>
            </w:r>
          </w:p>
          <w:p w14:paraId="52124C4A" w14:textId="77777777" w:rsidR="007B15D3" w:rsidRDefault="00F81558">
            <w:pPr>
              <w:pStyle w:val="TableParagraph"/>
              <w:spacing w:before="129"/>
            </w:pPr>
            <w:r>
              <w:t>H</w:t>
            </w:r>
            <w:r>
              <w:rPr>
                <w:vertAlign w:val="subscript"/>
              </w:rPr>
              <w:t>2</w:t>
            </w:r>
            <w:r>
              <w:t xml:space="preserve">O: </w:t>
            </w:r>
            <w:r>
              <w:rPr>
                <w:rFonts w:ascii="Symbol" w:hAnsi="Symbol"/>
              </w:rPr>
              <w:t></w:t>
            </w:r>
            <w:r>
              <w:rPr>
                <w:rFonts w:ascii="Times New Roman" w:hAnsi="Times New Roman"/>
              </w:rPr>
              <w:t xml:space="preserve"> </w:t>
            </w:r>
            <w:r>
              <w:t xml:space="preserve">4 </w:t>
            </w:r>
            <w:proofErr w:type="spellStart"/>
            <w:r>
              <w:t>ppm</w:t>
            </w:r>
            <w:proofErr w:type="spellEnd"/>
            <w:r>
              <w:t xml:space="preserve"> </w:t>
            </w:r>
            <w:proofErr w:type="spellStart"/>
            <w:r>
              <w:t>абс</w:t>
            </w:r>
            <w:proofErr w:type="spellEnd"/>
            <w:proofErr w:type="gramStart"/>
            <w:r>
              <w:t>.</w:t>
            </w:r>
            <w:proofErr w:type="gramEnd"/>
            <w:r>
              <w:t xml:space="preserve"> или </w:t>
            </w:r>
            <w:r>
              <w:rPr>
                <w:rFonts w:ascii="Symbol" w:hAnsi="Symbol"/>
              </w:rPr>
              <w:t></w:t>
            </w:r>
            <w:r>
              <w:rPr>
                <w:rFonts w:ascii="Times New Roman" w:hAnsi="Times New Roman"/>
              </w:rPr>
              <w:t xml:space="preserve"> </w:t>
            </w:r>
            <w:r>
              <w:t xml:space="preserve">2% </w:t>
            </w:r>
            <w:proofErr w:type="spellStart"/>
            <w:r>
              <w:t>отн</w:t>
            </w:r>
            <w:proofErr w:type="spellEnd"/>
            <w:r>
              <w:t>. (что больше)</w:t>
            </w:r>
          </w:p>
        </w:tc>
      </w:tr>
      <w:tr w:rsidR="007B15D3" w14:paraId="28C76604" w14:textId="77777777">
        <w:trPr>
          <w:trHeight w:val="392"/>
        </w:trPr>
        <w:tc>
          <w:tcPr>
            <w:tcW w:w="3552" w:type="dxa"/>
            <w:shd w:val="clear" w:color="auto" w:fill="D8D8D8"/>
          </w:tcPr>
          <w:p w14:paraId="25567981" w14:textId="77777777" w:rsidR="007B15D3" w:rsidRDefault="00F81558">
            <w:pPr>
              <w:pStyle w:val="TableParagraph"/>
              <w:rPr>
                <w:b/>
              </w:rPr>
            </w:pPr>
            <w:r>
              <w:rPr>
                <w:b/>
              </w:rPr>
              <w:t>Расход анализируемого газа</w:t>
            </w:r>
          </w:p>
        </w:tc>
        <w:tc>
          <w:tcPr>
            <w:tcW w:w="6499" w:type="dxa"/>
            <w:shd w:val="clear" w:color="auto" w:fill="D8D8D8"/>
          </w:tcPr>
          <w:p w14:paraId="01800EE0" w14:textId="77777777" w:rsidR="007B15D3" w:rsidRDefault="00F81558">
            <w:pPr>
              <w:pStyle w:val="TableParagraph"/>
              <w:spacing w:before="67"/>
            </w:pPr>
            <w:r>
              <w:t xml:space="preserve">1...10 </w:t>
            </w:r>
            <w:proofErr w:type="spellStart"/>
            <w:r>
              <w:t>нл</w:t>
            </w:r>
            <w:proofErr w:type="spellEnd"/>
            <w:r>
              <w:t>/мин</w:t>
            </w:r>
          </w:p>
        </w:tc>
      </w:tr>
      <w:tr w:rsidR="007B15D3" w14:paraId="67DE3C37" w14:textId="77777777">
        <w:trPr>
          <w:trHeight w:val="392"/>
        </w:trPr>
        <w:tc>
          <w:tcPr>
            <w:tcW w:w="3552" w:type="dxa"/>
          </w:tcPr>
          <w:p w14:paraId="04A17B9A" w14:textId="77777777" w:rsidR="007B15D3" w:rsidRDefault="00F81558">
            <w:pPr>
              <w:pStyle w:val="TableParagraph"/>
              <w:rPr>
                <w:b/>
              </w:rPr>
            </w:pPr>
            <w:r>
              <w:rPr>
                <w:b/>
              </w:rPr>
              <w:t>Давление в ячейке</w:t>
            </w:r>
          </w:p>
        </w:tc>
        <w:tc>
          <w:tcPr>
            <w:tcW w:w="6499" w:type="dxa"/>
          </w:tcPr>
          <w:p w14:paraId="420F8140" w14:textId="77777777" w:rsidR="007B15D3" w:rsidRDefault="00F81558">
            <w:pPr>
              <w:pStyle w:val="TableParagraph"/>
              <w:spacing w:before="67"/>
            </w:pPr>
            <w:r>
              <w:t>70…170 кПа изб.</w:t>
            </w:r>
          </w:p>
        </w:tc>
      </w:tr>
      <w:tr w:rsidR="007B15D3" w14:paraId="600636A2" w14:textId="77777777">
        <w:trPr>
          <w:trHeight w:val="392"/>
        </w:trPr>
        <w:tc>
          <w:tcPr>
            <w:tcW w:w="3552" w:type="dxa"/>
            <w:shd w:val="clear" w:color="auto" w:fill="D8D8D8"/>
          </w:tcPr>
          <w:p w14:paraId="53B908E8" w14:textId="77777777" w:rsidR="007B15D3" w:rsidRDefault="00F81558">
            <w:pPr>
              <w:pStyle w:val="TableParagraph"/>
              <w:rPr>
                <w:b/>
              </w:rPr>
            </w:pPr>
            <w:r>
              <w:rPr>
                <w:b/>
              </w:rPr>
              <w:t>Время отклика</w:t>
            </w:r>
          </w:p>
        </w:tc>
        <w:tc>
          <w:tcPr>
            <w:tcW w:w="6499" w:type="dxa"/>
            <w:shd w:val="clear" w:color="auto" w:fill="D8D8D8"/>
          </w:tcPr>
          <w:p w14:paraId="7C97A0F1" w14:textId="77777777" w:rsidR="007B15D3" w:rsidRDefault="00F81558">
            <w:pPr>
              <w:pStyle w:val="TableParagraph"/>
              <w:spacing w:before="67"/>
            </w:pPr>
            <w:r>
              <w:t>1 с (без учета системы пробоотбора)</w:t>
            </w:r>
          </w:p>
        </w:tc>
      </w:tr>
      <w:tr w:rsidR="007B15D3" w14:paraId="4F4C751B" w14:textId="77777777">
        <w:trPr>
          <w:trHeight w:val="642"/>
        </w:trPr>
        <w:tc>
          <w:tcPr>
            <w:tcW w:w="3552" w:type="dxa"/>
          </w:tcPr>
          <w:p w14:paraId="696AD312" w14:textId="77777777" w:rsidR="007B15D3" w:rsidRDefault="00F81558">
            <w:pPr>
              <w:pStyle w:val="TableParagraph"/>
              <w:rPr>
                <w:b/>
              </w:rPr>
            </w:pPr>
            <w:r>
              <w:rPr>
                <w:b/>
              </w:rPr>
              <w:t>Сигнализация</w:t>
            </w:r>
          </w:p>
        </w:tc>
        <w:tc>
          <w:tcPr>
            <w:tcW w:w="6499" w:type="dxa"/>
          </w:tcPr>
          <w:p w14:paraId="42303ACC" w14:textId="77777777" w:rsidR="007B15D3" w:rsidRDefault="00F81558">
            <w:pPr>
              <w:pStyle w:val="TableParagraph"/>
              <w:spacing w:before="67" w:line="244" w:lineRule="auto"/>
            </w:pPr>
            <w:r>
              <w:t>4 реле (30 В переменного тока, 60 В постоянного тока, поддерживаемая нагрузка 100 ВА)</w:t>
            </w:r>
          </w:p>
        </w:tc>
      </w:tr>
      <w:tr w:rsidR="007B15D3" w14:paraId="532D916B" w14:textId="77777777">
        <w:trPr>
          <w:trHeight w:val="642"/>
        </w:trPr>
        <w:tc>
          <w:tcPr>
            <w:tcW w:w="3552" w:type="dxa"/>
            <w:shd w:val="clear" w:color="auto" w:fill="D8D8D8"/>
          </w:tcPr>
          <w:p w14:paraId="43357436" w14:textId="77777777" w:rsidR="007B15D3" w:rsidRDefault="00F81558">
            <w:pPr>
              <w:pStyle w:val="TableParagraph"/>
              <w:rPr>
                <w:b/>
              </w:rPr>
            </w:pPr>
            <w:r>
              <w:rPr>
                <w:b/>
              </w:rPr>
              <w:t>Аналоговый выход</w:t>
            </w:r>
          </w:p>
        </w:tc>
        <w:tc>
          <w:tcPr>
            <w:tcW w:w="6499" w:type="dxa"/>
            <w:shd w:val="clear" w:color="auto" w:fill="D8D8D8"/>
          </w:tcPr>
          <w:p w14:paraId="74B80891" w14:textId="77777777" w:rsidR="007B15D3" w:rsidRDefault="00F81558">
            <w:pPr>
              <w:pStyle w:val="TableParagraph"/>
              <w:spacing w:before="67" w:line="244" w:lineRule="auto"/>
            </w:pPr>
            <w:r>
              <w:t>4...20 мА, пассивный (до 2-х выходов), (питание 15...30 В обеспечивается пользователем)</w:t>
            </w:r>
          </w:p>
        </w:tc>
      </w:tr>
      <w:tr w:rsidR="007B15D3" w14:paraId="44DC0688" w14:textId="77777777">
        <w:trPr>
          <w:trHeight w:val="393"/>
        </w:trPr>
        <w:tc>
          <w:tcPr>
            <w:tcW w:w="3552" w:type="dxa"/>
          </w:tcPr>
          <w:p w14:paraId="1630A1B2" w14:textId="77777777" w:rsidR="007B15D3" w:rsidRDefault="00F81558">
            <w:pPr>
              <w:pStyle w:val="TableParagraph"/>
              <w:rPr>
                <w:b/>
              </w:rPr>
            </w:pPr>
            <w:r>
              <w:rPr>
                <w:b/>
              </w:rPr>
              <w:t>Интерфейсы</w:t>
            </w:r>
          </w:p>
        </w:tc>
        <w:tc>
          <w:tcPr>
            <w:tcW w:w="6499" w:type="dxa"/>
          </w:tcPr>
          <w:p w14:paraId="62B7EBC0" w14:textId="77777777" w:rsidR="007B15D3" w:rsidRDefault="00F81558">
            <w:pPr>
              <w:pStyle w:val="TableParagraph"/>
              <w:spacing w:before="67"/>
            </w:pPr>
            <w:r>
              <w:t>RS232, RS-485 (</w:t>
            </w:r>
            <w:proofErr w:type="spellStart"/>
            <w:r>
              <w:t>Modbus</w:t>
            </w:r>
            <w:proofErr w:type="spellEnd"/>
            <w:r>
              <w:t xml:space="preserve">), </w:t>
            </w:r>
            <w:proofErr w:type="spellStart"/>
            <w:r>
              <w:t>Ethernet</w:t>
            </w:r>
            <w:proofErr w:type="spellEnd"/>
          </w:p>
        </w:tc>
      </w:tr>
      <w:tr w:rsidR="007B15D3" w14:paraId="556D620B" w14:textId="77777777">
        <w:trPr>
          <w:trHeight w:val="392"/>
        </w:trPr>
        <w:tc>
          <w:tcPr>
            <w:tcW w:w="3552" w:type="dxa"/>
            <w:shd w:val="clear" w:color="auto" w:fill="D8D8D8"/>
          </w:tcPr>
          <w:p w14:paraId="47F36AD2" w14:textId="77777777" w:rsidR="007B15D3" w:rsidRDefault="00F81558">
            <w:pPr>
              <w:pStyle w:val="TableParagraph"/>
              <w:rPr>
                <w:b/>
              </w:rPr>
            </w:pPr>
            <w:r>
              <w:rPr>
                <w:b/>
              </w:rPr>
              <w:t>Дисплей</w:t>
            </w:r>
          </w:p>
        </w:tc>
        <w:tc>
          <w:tcPr>
            <w:tcW w:w="6499" w:type="dxa"/>
            <w:shd w:val="clear" w:color="auto" w:fill="D8D8D8"/>
          </w:tcPr>
          <w:p w14:paraId="6055C4D7" w14:textId="77777777" w:rsidR="007B15D3" w:rsidRDefault="00F81558">
            <w:pPr>
              <w:pStyle w:val="TableParagraph"/>
              <w:spacing w:before="67"/>
            </w:pPr>
            <w:r>
              <w:t>4 строки по 20 символов, флуоресцентный</w:t>
            </w:r>
          </w:p>
        </w:tc>
      </w:tr>
      <w:tr w:rsidR="007B15D3" w14:paraId="3334255D" w14:textId="77777777">
        <w:trPr>
          <w:trHeight w:val="642"/>
        </w:trPr>
        <w:tc>
          <w:tcPr>
            <w:tcW w:w="3552" w:type="dxa"/>
          </w:tcPr>
          <w:p w14:paraId="60571616" w14:textId="77777777" w:rsidR="007B15D3" w:rsidRDefault="00F81558">
            <w:pPr>
              <w:pStyle w:val="TableParagraph"/>
              <w:rPr>
                <w:b/>
              </w:rPr>
            </w:pPr>
            <w:r>
              <w:rPr>
                <w:b/>
              </w:rPr>
              <w:t>Питание</w:t>
            </w:r>
          </w:p>
        </w:tc>
        <w:tc>
          <w:tcPr>
            <w:tcW w:w="6499" w:type="dxa"/>
          </w:tcPr>
          <w:p w14:paraId="07F73EE2" w14:textId="77777777" w:rsidR="007B15D3" w:rsidRDefault="00F81558">
            <w:pPr>
              <w:pStyle w:val="TableParagraph"/>
              <w:spacing w:before="67" w:line="244" w:lineRule="auto"/>
            </w:pPr>
            <w:r>
              <w:t>от 108 до 264 В, 50/60Гц; 105 Вт (вертикальный тип, общепромышленное исполнение)</w:t>
            </w:r>
          </w:p>
        </w:tc>
      </w:tr>
      <w:tr w:rsidR="007B15D3" w14:paraId="4672F6E0" w14:textId="77777777">
        <w:trPr>
          <w:trHeight w:val="392"/>
        </w:trPr>
        <w:tc>
          <w:tcPr>
            <w:tcW w:w="3552" w:type="dxa"/>
            <w:shd w:val="clear" w:color="auto" w:fill="D8D8D8"/>
          </w:tcPr>
          <w:p w14:paraId="728A42A4" w14:textId="77777777" w:rsidR="007B15D3" w:rsidRDefault="00F81558">
            <w:pPr>
              <w:pStyle w:val="TableParagraph"/>
              <w:rPr>
                <w:b/>
              </w:rPr>
            </w:pPr>
            <w:r>
              <w:rPr>
                <w:b/>
              </w:rPr>
              <w:t>Исполнение</w:t>
            </w:r>
          </w:p>
        </w:tc>
        <w:tc>
          <w:tcPr>
            <w:tcW w:w="6499" w:type="dxa"/>
            <w:shd w:val="clear" w:color="auto" w:fill="D8D8D8"/>
          </w:tcPr>
          <w:p w14:paraId="3D2B6FF6" w14:textId="77777777" w:rsidR="007B15D3" w:rsidRDefault="00F81558">
            <w:pPr>
              <w:pStyle w:val="TableParagraph"/>
              <w:spacing w:before="67"/>
            </w:pPr>
            <w:r>
              <w:t>2ExdeIIB+H</w:t>
            </w:r>
            <w:r>
              <w:rPr>
                <w:vertAlign w:val="subscript"/>
              </w:rPr>
              <w:t>2</w:t>
            </w:r>
            <w:r>
              <w:t>T3 X или 2ExnAIIT3 X</w:t>
            </w:r>
          </w:p>
        </w:tc>
      </w:tr>
      <w:tr w:rsidR="007B15D3" w14:paraId="292C0253" w14:textId="77777777">
        <w:trPr>
          <w:trHeight w:val="397"/>
        </w:trPr>
        <w:tc>
          <w:tcPr>
            <w:tcW w:w="3552" w:type="dxa"/>
          </w:tcPr>
          <w:p w14:paraId="4375C64B" w14:textId="77777777" w:rsidR="007B15D3" w:rsidRDefault="00F81558">
            <w:pPr>
              <w:pStyle w:val="TableParagraph"/>
              <w:rPr>
                <w:b/>
              </w:rPr>
            </w:pPr>
            <w:r>
              <w:rPr>
                <w:b/>
              </w:rPr>
              <w:t>Окружающая среда</w:t>
            </w:r>
          </w:p>
        </w:tc>
        <w:tc>
          <w:tcPr>
            <w:tcW w:w="6499" w:type="dxa"/>
          </w:tcPr>
          <w:p w14:paraId="1844F9B3" w14:textId="77777777" w:rsidR="007B15D3" w:rsidRDefault="00F81558">
            <w:pPr>
              <w:pStyle w:val="TableParagraph"/>
              <w:spacing w:before="66"/>
            </w:pPr>
            <w:r>
              <w:t xml:space="preserve">-20...+50 </w:t>
            </w:r>
            <w:r>
              <w:rPr>
                <w:rFonts w:ascii="Symbol" w:hAnsi="Symbol"/>
              </w:rPr>
              <w:t></w:t>
            </w:r>
            <w:r>
              <w:t>С, 0...90% относит. влажности без конденсации</w:t>
            </w:r>
          </w:p>
        </w:tc>
      </w:tr>
      <w:tr w:rsidR="007B15D3" w14:paraId="03F96F93" w14:textId="77777777">
        <w:trPr>
          <w:trHeight w:val="392"/>
        </w:trPr>
        <w:tc>
          <w:tcPr>
            <w:tcW w:w="3552" w:type="dxa"/>
            <w:shd w:val="clear" w:color="auto" w:fill="D8D8D8"/>
          </w:tcPr>
          <w:p w14:paraId="1861E9C5" w14:textId="77777777" w:rsidR="007B15D3" w:rsidRDefault="00F81558">
            <w:pPr>
              <w:pStyle w:val="TableParagraph"/>
              <w:rPr>
                <w:b/>
              </w:rPr>
            </w:pPr>
            <w:r>
              <w:rPr>
                <w:b/>
              </w:rPr>
              <w:t xml:space="preserve">Габариты (Ш </w:t>
            </w:r>
            <w:r>
              <w:t xml:space="preserve">х </w:t>
            </w:r>
            <w:r>
              <w:rPr>
                <w:b/>
              </w:rPr>
              <w:t xml:space="preserve">В </w:t>
            </w:r>
            <w:r>
              <w:t xml:space="preserve">х </w:t>
            </w:r>
            <w:r>
              <w:rPr>
                <w:b/>
              </w:rPr>
              <w:t>Д)</w:t>
            </w:r>
          </w:p>
        </w:tc>
        <w:tc>
          <w:tcPr>
            <w:tcW w:w="6499" w:type="dxa"/>
            <w:shd w:val="clear" w:color="auto" w:fill="D8D8D8"/>
          </w:tcPr>
          <w:p w14:paraId="7F51E635" w14:textId="77777777" w:rsidR="007B15D3" w:rsidRDefault="00F81558">
            <w:pPr>
              <w:pStyle w:val="TableParagraph"/>
              <w:spacing w:before="67"/>
            </w:pPr>
            <w:r>
              <w:t>788х242х146 мм (вертикальный тип, монтаж на панели)</w:t>
            </w:r>
          </w:p>
        </w:tc>
      </w:tr>
      <w:tr w:rsidR="007B15D3" w14:paraId="12231FCB" w14:textId="77777777">
        <w:trPr>
          <w:trHeight w:val="517"/>
        </w:trPr>
        <w:tc>
          <w:tcPr>
            <w:tcW w:w="3552" w:type="dxa"/>
          </w:tcPr>
          <w:p w14:paraId="133A18AC" w14:textId="77777777" w:rsidR="007B15D3" w:rsidRDefault="00F81558">
            <w:pPr>
              <w:pStyle w:val="TableParagraph"/>
              <w:rPr>
                <w:b/>
              </w:rPr>
            </w:pPr>
            <w:r>
              <w:rPr>
                <w:b/>
              </w:rPr>
              <w:t>Масса нетто</w:t>
            </w:r>
          </w:p>
        </w:tc>
        <w:tc>
          <w:tcPr>
            <w:tcW w:w="6499" w:type="dxa"/>
          </w:tcPr>
          <w:p w14:paraId="36D12FCA" w14:textId="77777777" w:rsidR="007B15D3" w:rsidRDefault="00F81558">
            <w:pPr>
              <w:pStyle w:val="TableParagraph"/>
              <w:spacing w:before="3" w:line="260" w:lineRule="exact"/>
            </w:pPr>
            <w:r>
              <w:t>25 кг (68 кг во взрывозащищенном исполнении) (вертикальный тип)</w:t>
            </w:r>
          </w:p>
        </w:tc>
      </w:tr>
    </w:tbl>
    <w:p w14:paraId="68876631" w14:textId="77777777" w:rsidR="007B15D3" w:rsidRDefault="007B15D3">
      <w:pPr>
        <w:pStyle w:val="a3"/>
        <w:spacing w:before="1"/>
        <w:rPr>
          <w:b/>
          <w:i/>
          <w:sz w:val="25"/>
        </w:rPr>
      </w:pPr>
    </w:p>
    <w:p w14:paraId="2D684F87" w14:textId="77777777" w:rsidR="007B15D3" w:rsidRDefault="00F81558">
      <w:pPr>
        <w:ind w:left="143"/>
        <w:rPr>
          <w:b/>
          <w:i/>
          <w:sz w:val="24"/>
        </w:rPr>
      </w:pPr>
      <w:r>
        <w:rPr>
          <w:b/>
          <w:i/>
          <w:sz w:val="24"/>
        </w:rPr>
        <w:t>Информация для заказа</w:t>
      </w:r>
    </w:p>
    <w:p w14:paraId="15BFACD6" w14:textId="77777777" w:rsidR="007B15D3" w:rsidRDefault="00F81558">
      <w:pPr>
        <w:spacing w:before="102"/>
        <w:ind w:left="143"/>
        <w:rPr>
          <w:b/>
          <w:i/>
        </w:rPr>
      </w:pPr>
      <w:r>
        <w:pict w14:anchorId="0DA9B649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6.7pt;margin-top:22.6pt;width:524.65pt;height:26.4pt;z-index:-15727104;mso-wrap-distance-left:0;mso-wrap-distance-right:0;mso-position-horizontal-relative:page" fillcolor="#d8d8d8" stroked="f">
            <v:textbox inset="0,0,0,0">
              <w:txbxContent>
                <w:p w14:paraId="2879C0D5" w14:textId="77777777" w:rsidR="007B15D3" w:rsidRDefault="00F81558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left" w:pos="182"/>
                    </w:tabs>
                    <w:spacing w:before="9" w:line="249" w:lineRule="auto"/>
                    <w:ind w:right="281" w:firstLine="0"/>
                  </w:pPr>
                  <w:r>
                    <w:t xml:space="preserve">Анализатор </w:t>
                  </w:r>
                  <w:r>
                    <w:rPr>
                      <w:b/>
                    </w:rPr>
                    <w:t>5100 или 5100HD</w:t>
                  </w:r>
                  <w:r>
                    <w:t xml:space="preserve">, вертикального или горизонтального типа, с элементами системы </w:t>
                  </w:r>
                  <w:proofErr w:type="spellStart"/>
                  <w:r>
                    <w:t>пробоподготовки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b/>
          <w:i/>
        </w:rPr>
        <w:t>Стандартная поставка:</w:t>
      </w:r>
    </w:p>
    <w:p w14:paraId="75564975" w14:textId="77777777" w:rsidR="007B15D3" w:rsidRDefault="00F81558">
      <w:pPr>
        <w:pStyle w:val="a4"/>
        <w:numPr>
          <w:ilvl w:val="0"/>
          <w:numId w:val="2"/>
        </w:numPr>
        <w:tabs>
          <w:tab w:val="left" w:pos="296"/>
        </w:tabs>
        <w:spacing w:before="0" w:line="243" w:lineRule="exact"/>
        <w:ind w:left="295"/>
        <w:rPr>
          <w:rFonts w:ascii="Symbol" w:hAnsi="Symbol"/>
          <w:sz w:val="18"/>
        </w:rPr>
      </w:pPr>
      <w:r>
        <w:t>Инструкция по эксплуатации на русском</w:t>
      </w:r>
      <w:r>
        <w:rPr>
          <w:spacing w:val="11"/>
        </w:rPr>
        <w:t xml:space="preserve"> </w:t>
      </w:r>
      <w:r>
        <w:t>языке</w:t>
      </w:r>
    </w:p>
    <w:p w14:paraId="0A4D04CB" w14:textId="77777777" w:rsidR="007B15D3" w:rsidRDefault="00F81558">
      <w:pPr>
        <w:pStyle w:val="a4"/>
        <w:numPr>
          <w:ilvl w:val="0"/>
          <w:numId w:val="2"/>
        </w:numPr>
        <w:tabs>
          <w:tab w:val="left" w:pos="296"/>
          <w:tab w:val="left" w:pos="10607"/>
        </w:tabs>
        <w:spacing w:before="6"/>
        <w:ind w:left="295"/>
        <w:rPr>
          <w:rFonts w:ascii="Symbol" w:hAnsi="Symbol"/>
          <w:sz w:val="18"/>
        </w:rPr>
      </w:pPr>
      <w:r>
        <w:rPr>
          <w:sz w:val="20"/>
          <w:shd w:val="clear" w:color="auto" w:fill="D8D8D8"/>
        </w:rPr>
        <w:t>Элементы с</w:t>
      </w:r>
      <w:r>
        <w:rPr>
          <w:shd w:val="clear" w:color="auto" w:fill="D8D8D8"/>
        </w:rPr>
        <w:t>истемы пробоотбора поставляются по дополнительному</w:t>
      </w:r>
      <w:r>
        <w:rPr>
          <w:spacing w:val="38"/>
          <w:shd w:val="clear" w:color="auto" w:fill="D8D8D8"/>
        </w:rPr>
        <w:t xml:space="preserve"> </w:t>
      </w:r>
      <w:r>
        <w:rPr>
          <w:shd w:val="clear" w:color="auto" w:fill="D8D8D8"/>
        </w:rPr>
        <w:t>запросу</w:t>
      </w:r>
      <w:r>
        <w:rPr>
          <w:shd w:val="clear" w:color="auto" w:fill="D8D8D8"/>
        </w:rPr>
        <w:tab/>
      </w:r>
    </w:p>
    <w:p w14:paraId="47BD99D1" w14:textId="77777777" w:rsidR="007B15D3" w:rsidRDefault="007B15D3">
      <w:pPr>
        <w:pStyle w:val="a3"/>
        <w:rPr>
          <w:sz w:val="20"/>
        </w:rPr>
      </w:pPr>
    </w:p>
    <w:p w14:paraId="4FC2B7FF" w14:textId="77777777" w:rsidR="007B15D3" w:rsidRDefault="007B15D3">
      <w:pPr>
        <w:pStyle w:val="a3"/>
        <w:rPr>
          <w:sz w:val="20"/>
        </w:rPr>
      </w:pPr>
    </w:p>
    <w:p w14:paraId="7C19A001" w14:textId="77777777" w:rsidR="007B15D3" w:rsidRDefault="007B15D3">
      <w:pPr>
        <w:pStyle w:val="a3"/>
        <w:rPr>
          <w:sz w:val="20"/>
        </w:rPr>
      </w:pPr>
    </w:p>
    <w:p w14:paraId="7E1C358E" w14:textId="77777777" w:rsidR="007B15D3" w:rsidRDefault="007B15D3">
      <w:pPr>
        <w:pStyle w:val="a3"/>
        <w:rPr>
          <w:sz w:val="20"/>
        </w:rPr>
      </w:pPr>
    </w:p>
    <w:p w14:paraId="1B3F77B5" w14:textId="77777777" w:rsidR="007B15D3" w:rsidRDefault="007B15D3">
      <w:pPr>
        <w:pStyle w:val="a3"/>
        <w:rPr>
          <w:sz w:val="20"/>
        </w:rPr>
      </w:pPr>
    </w:p>
    <w:p w14:paraId="6CE01C9D" w14:textId="77777777" w:rsidR="007B15D3" w:rsidRDefault="007B15D3">
      <w:pPr>
        <w:pStyle w:val="a3"/>
        <w:rPr>
          <w:sz w:val="20"/>
        </w:rPr>
      </w:pPr>
    </w:p>
    <w:p w14:paraId="6CB6A646" w14:textId="77777777" w:rsidR="007B15D3" w:rsidRDefault="007B15D3">
      <w:pPr>
        <w:pStyle w:val="a3"/>
        <w:rPr>
          <w:sz w:val="20"/>
        </w:rPr>
      </w:pPr>
    </w:p>
    <w:p w14:paraId="3615B35B" w14:textId="77777777" w:rsidR="007B15D3" w:rsidRDefault="007B15D3">
      <w:pPr>
        <w:pStyle w:val="a3"/>
        <w:rPr>
          <w:sz w:val="20"/>
        </w:rPr>
      </w:pPr>
    </w:p>
    <w:p w14:paraId="798E817F" w14:textId="77777777" w:rsidR="007B15D3" w:rsidRDefault="007B15D3">
      <w:pPr>
        <w:pStyle w:val="a3"/>
        <w:rPr>
          <w:sz w:val="20"/>
        </w:rPr>
      </w:pPr>
    </w:p>
    <w:p w14:paraId="6B0AE45D" w14:textId="77777777" w:rsidR="007B15D3" w:rsidRDefault="007B15D3">
      <w:pPr>
        <w:pStyle w:val="a3"/>
        <w:rPr>
          <w:sz w:val="20"/>
        </w:rPr>
      </w:pPr>
    </w:p>
    <w:p w14:paraId="1BE7AE1C" w14:textId="77777777" w:rsidR="007B15D3" w:rsidRDefault="00F81558">
      <w:pPr>
        <w:pStyle w:val="a3"/>
        <w:spacing w:before="5"/>
        <w:rPr>
          <w:sz w:val="20"/>
        </w:rPr>
      </w:pPr>
      <w:r>
        <w:pict w14:anchorId="42C2BE40">
          <v:rect id="_x0000_s1026" style="position:absolute;margin-left:36.7pt;margin-top:13.75pt;width:524.65pt;height:.5pt;z-index:-15726592;mso-wrap-distance-left:0;mso-wrap-distance-right:0;mso-position-horizontal-relative:page" fillcolor="black" stroked="f">
            <w10:wrap type="topAndBottom" anchorx="page"/>
          </v:rect>
        </w:pict>
      </w:r>
    </w:p>
    <w:sectPr w:rsidR="007B15D3">
      <w:pgSz w:w="11900" w:h="16840"/>
      <w:pgMar w:top="1080" w:right="56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44D4266"/>
    <w:multiLevelType w:val="hybridMultilevel"/>
    <w:tmpl w:val="EFC27C70"/>
    <w:lvl w:ilvl="0" w:tplc="6FCEBA7C">
      <w:numFmt w:val="bullet"/>
      <w:lvlText w:val=""/>
      <w:lvlJc w:val="left"/>
      <w:pPr>
        <w:ind w:left="28" w:hanging="153"/>
      </w:pPr>
      <w:rPr>
        <w:rFonts w:ascii="Symbol" w:eastAsia="Symbol" w:hAnsi="Symbol" w:cs="Symbol" w:hint="default"/>
        <w:spacing w:val="-3"/>
        <w:w w:val="100"/>
        <w:sz w:val="18"/>
        <w:szCs w:val="18"/>
        <w:lang w:val="ru-RU" w:eastAsia="en-US" w:bidi="ar-SA"/>
      </w:rPr>
    </w:lvl>
    <w:lvl w:ilvl="1" w:tplc="B4547670">
      <w:numFmt w:val="bullet"/>
      <w:lvlText w:val="•"/>
      <w:lvlJc w:val="left"/>
      <w:pPr>
        <w:ind w:left="1067" w:hanging="153"/>
      </w:pPr>
      <w:rPr>
        <w:rFonts w:hint="default"/>
        <w:lang w:val="ru-RU" w:eastAsia="en-US" w:bidi="ar-SA"/>
      </w:rPr>
    </w:lvl>
    <w:lvl w:ilvl="2" w:tplc="22A20C62">
      <w:numFmt w:val="bullet"/>
      <w:lvlText w:val="•"/>
      <w:lvlJc w:val="left"/>
      <w:pPr>
        <w:ind w:left="2114" w:hanging="153"/>
      </w:pPr>
      <w:rPr>
        <w:rFonts w:hint="default"/>
        <w:lang w:val="ru-RU" w:eastAsia="en-US" w:bidi="ar-SA"/>
      </w:rPr>
    </w:lvl>
    <w:lvl w:ilvl="3" w:tplc="8F649176">
      <w:numFmt w:val="bullet"/>
      <w:lvlText w:val="•"/>
      <w:lvlJc w:val="left"/>
      <w:pPr>
        <w:ind w:left="3161" w:hanging="153"/>
      </w:pPr>
      <w:rPr>
        <w:rFonts w:hint="default"/>
        <w:lang w:val="ru-RU" w:eastAsia="en-US" w:bidi="ar-SA"/>
      </w:rPr>
    </w:lvl>
    <w:lvl w:ilvl="4" w:tplc="C2B29C52">
      <w:numFmt w:val="bullet"/>
      <w:lvlText w:val="•"/>
      <w:lvlJc w:val="left"/>
      <w:pPr>
        <w:ind w:left="4209" w:hanging="153"/>
      </w:pPr>
      <w:rPr>
        <w:rFonts w:hint="default"/>
        <w:lang w:val="ru-RU" w:eastAsia="en-US" w:bidi="ar-SA"/>
      </w:rPr>
    </w:lvl>
    <w:lvl w:ilvl="5" w:tplc="5DC82922">
      <w:numFmt w:val="bullet"/>
      <w:lvlText w:val="•"/>
      <w:lvlJc w:val="left"/>
      <w:pPr>
        <w:ind w:left="5256" w:hanging="153"/>
      </w:pPr>
      <w:rPr>
        <w:rFonts w:hint="default"/>
        <w:lang w:val="ru-RU" w:eastAsia="en-US" w:bidi="ar-SA"/>
      </w:rPr>
    </w:lvl>
    <w:lvl w:ilvl="6" w:tplc="5D5642A4">
      <w:numFmt w:val="bullet"/>
      <w:lvlText w:val="•"/>
      <w:lvlJc w:val="left"/>
      <w:pPr>
        <w:ind w:left="6303" w:hanging="153"/>
      </w:pPr>
      <w:rPr>
        <w:rFonts w:hint="default"/>
        <w:lang w:val="ru-RU" w:eastAsia="en-US" w:bidi="ar-SA"/>
      </w:rPr>
    </w:lvl>
    <w:lvl w:ilvl="7" w:tplc="E1446CFC">
      <w:numFmt w:val="bullet"/>
      <w:lvlText w:val="•"/>
      <w:lvlJc w:val="left"/>
      <w:pPr>
        <w:ind w:left="7350" w:hanging="153"/>
      </w:pPr>
      <w:rPr>
        <w:rFonts w:hint="default"/>
        <w:lang w:val="ru-RU" w:eastAsia="en-US" w:bidi="ar-SA"/>
      </w:rPr>
    </w:lvl>
    <w:lvl w:ilvl="8" w:tplc="9EEC578A">
      <w:numFmt w:val="bullet"/>
      <w:lvlText w:val="•"/>
      <w:lvlJc w:val="left"/>
      <w:pPr>
        <w:ind w:left="8398" w:hanging="153"/>
      </w:pPr>
      <w:rPr>
        <w:rFonts w:hint="default"/>
        <w:lang w:val="ru-RU" w:eastAsia="en-US" w:bidi="ar-SA"/>
      </w:rPr>
    </w:lvl>
  </w:abstractNum>
  <w:abstractNum w:abstractNumId="1" w15:restartNumberingAfterBreak="0">
    <w:nsid w:val="6E561C7E"/>
    <w:multiLevelType w:val="hybridMultilevel"/>
    <w:tmpl w:val="A9E2DBCA"/>
    <w:lvl w:ilvl="0" w:tplc="57805964">
      <w:numFmt w:val="bullet"/>
      <w:lvlText w:val=""/>
      <w:lvlJc w:val="left"/>
      <w:pPr>
        <w:ind w:left="143" w:hanging="153"/>
      </w:pPr>
      <w:rPr>
        <w:rFonts w:hint="default"/>
        <w:spacing w:val="-3"/>
        <w:w w:val="100"/>
        <w:lang w:val="ru-RU" w:eastAsia="en-US" w:bidi="ar-SA"/>
      </w:rPr>
    </w:lvl>
    <w:lvl w:ilvl="1" w:tplc="AC5CD51C">
      <w:numFmt w:val="bullet"/>
      <w:lvlText w:val="•"/>
      <w:lvlJc w:val="left"/>
      <w:pPr>
        <w:ind w:left="640" w:hanging="153"/>
      </w:pPr>
      <w:rPr>
        <w:rFonts w:hint="default"/>
        <w:lang w:val="ru-RU" w:eastAsia="en-US" w:bidi="ar-SA"/>
      </w:rPr>
    </w:lvl>
    <w:lvl w:ilvl="2" w:tplc="4B2076B0">
      <w:numFmt w:val="bullet"/>
      <w:lvlText w:val="•"/>
      <w:lvlJc w:val="left"/>
      <w:pPr>
        <w:ind w:left="1141" w:hanging="153"/>
      </w:pPr>
      <w:rPr>
        <w:rFonts w:hint="default"/>
        <w:lang w:val="ru-RU" w:eastAsia="en-US" w:bidi="ar-SA"/>
      </w:rPr>
    </w:lvl>
    <w:lvl w:ilvl="3" w:tplc="D45ED634">
      <w:numFmt w:val="bullet"/>
      <w:lvlText w:val="•"/>
      <w:lvlJc w:val="left"/>
      <w:pPr>
        <w:ind w:left="1642" w:hanging="153"/>
      </w:pPr>
      <w:rPr>
        <w:rFonts w:hint="default"/>
        <w:lang w:val="ru-RU" w:eastAsia="en-US" w:bidi="ar-SA"/>
      </w:rPr>
    </w:lvl>
    <w:lvl w:ilvl="4" w:tplc="2E666A2A">
      <w:numFmt w:val="bullet"/>
      <w:lvlText w:val="•"/>
      <w:lvlJc w:val="left"/>
      <w:pPr>
        <w:ind w:left="2142" w:hanging="153"/>
      </w:pPr>
      <w:rPr>
        <w:rFonts w:hint="default"/>
        <w:lang w:val="ru-RU" w:eastAsia="en-US" w:bidi="ar-SA"/>
      </w:rPr>
    </w:lvl>
    <w:lvl w:ilvl="5" w:tplc="44C6F6EC">
      <w:numFmt w:val="bullet"/>
      <w:lvlText w:val="•"/>
      <w:lvlJc w:val="left"/>
      <w:pPr>
        <w:ind w:left="2643" w:hanging="153"/>
      </w:pPr>
      <w:rPr>
        <w:rFonts w:hint="default"/>
        <w:lang w:val="ru-RU" w:eastAsia="en-US" w:bidi="ar-SA"/>
      </w:rPr>
    </w:lvl>
    <w:lvl w:ilvl="6" w:tplc="558444D2">
      <w:numFmt w:val="bullet"/>
      <w:lvlText w:val="•"/>
      <w:lvlJc w:val="left"/>
      <w:pPr>
        <w:ind w:left="3144" w:hanging="153"/>
      </w:pPr>
      <w:rPr>
        <w:rFonts w:hint="default"/>
        <w:lang w:val="ru-RU" w:eastAsia="en-US" w:bidi="ar-SA"/>
      </w:rPr>
    </w:lvl>
    <w:lvl w:ilvl="7" w:tplc="99F4AC20">
      <w:numFmt w:val="bullet"/>
      <w:lvlText w:val="•"/>
      <w:lvlJc w:val="left"/>
      <w:pPr>
        <w:ind w:left="3645" w:hanging="153"/>
      </w:pPr>
      <w:rPr>
        <w:rFonts w:hint="default"/>
        <w:lang w:val="ru-RU" w:eastAsia="en-US" w:bidi="ar-SA"/>
      </w:rPr>
    </w:lvl>
    <w:lvl w:ilvl="8" w:tplc="FC5E3800">
      <w:numFmt w:val="bullet"/>
      <w:lvlText w:val="•"/>
      <w:lvlJc w:val="left"/>
      <w:pPr>
        <w:ind w:left="4145" w:hanging="153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B15D3"/>
    <w:rsid w:val="007B15D3"/>
    <w:rsid w:val="00F81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0C4E5DCA"/>
  <w15:docId w15:val="{AC4D9D75-630D-4AF4-AC89-54908B155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9"/>
    <w:qFormat/>
    <w:pPr>
      <w:spacing w:before="58"/>
      <w:ind w:left="143"/>
      <w:outlineLvl w:val="0"/>
    </w:pPr>
    <w:rPr>
      <w:b/>
      <w:bCs/>
      <w:i/>
      <w:sz w:val="40"/>
      <w:szCs w:val="40"/>
    </w:rPr>
  </w:style>
  <w:style w:type="paragraph" w:styleId="2">
    <w:name w:val="heading 2"/>
    <w:basedOn w:val="a"/>
    <w:uiPriority w:val="9"/>
    <w:unhideWhenUsed/>
    <w:qFormat/>
    <w:pPr>
      <w:ind w:left="143"/>
      <w:outlineLvl w:val="1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spacing w:before="2"/>
      <w:ind w:left="295" w:hanging="153"/>
    </w:pPr>
  </w:style>
  <w:style w:type="paragraph" w:customStyle="1" w:styleId="TableParagraph">
    <w:name w:val="Table Paragraph"/>
    <w:basedOn w:val="a"/>
    <w:uiPriority w:val="1"/>
    <w:qFormat/>
    <w:pPr>
      <w:spacing w:before="71"/>
      <w:ind w:left="11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573</Words>
  <Characters>3268</Characters>
  <Application>Microsoft Office Word</Application>
  <DocSecurity>0</DocSecurity>
  <Lines>27</Lines>
  <Paragraphs>7</Paragraphs>
  <ScaleCrop>false</ScaleCrop>
  <Company/>
  <LinksUpToDate>false</LinksUpToDate>
  <CharactersWithSpaces>3834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- 5100_L_2013.doc</dc:title>
  <dc:creator>aab</dc:creator>
  <cp:lastModifiedBy>Анастасия Лисицкая</cp:lastModifiedBy>
  <cp:revision>2</cp:revision>
  <dcterms:created xsi:type="dcterms:W3CDTF">2020-05-21T01:01:00Z</dcterms:created>
  <dcterms:modified xsi:type="dcterms:W3CDTF">2020-06-06T16:22:00Z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2013-12-24T00:00:00Z</vt:filetime>
  </property>
  <property fmtid="{D5CDD505-2E9C-101B-9397-08002B2CF9AE}" pid="3" name="Creator">
    <vt:lpwstr>Microsoft Word - 5100_L_2013.doc</vt:lpwstr>
  </property>
  <property fmtid="{D5CDD505-2E9C-101B-9397-08002B2CF9AE}" pid="4" name="LastSaved">
    <vt:filetime>2013-12-24T00:00:00Z</vt:filetime>
  </property>
</Properties>
</file>