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292A" w14:textId="77777777" w:rsidR="00A82687" w:rsidRDefault="00A82687">
      <w:pPr>
        <w:pStyle w:val="a3"/>
        <w:rPr>
          <w:rFonts w:ascii="Times New Roman"/>
        </w:rPr>
      </w:pPr>
    </w:p>
    <w:p w14:paraId="39D4F0D9" w14:textId="77777777" w:rsidR="00A82687" w:rsidRDefault="000C43D5">
      <w:pPr>
        <w:pStyle w:val="1"/>
        <w:spacing w:before="202" w:line="242" w:lineRule="auto"/>
      </w:pPr>
      <w:r>
        <w:t>Анализатор серы в нефти модели</w:t>
      </w:r>
      <w:r>
        <w:rPr>
          <w:spacing w:val="-55"/>
        </w:rPr>
        <w:t xml:space="preserve"> </w:t>
      </w:r>
      <w:r>
        <w:t xml:space="preserve">ASOMA </w:t>
      </w:r>
      <w:r>
        <w:t>682T-HP-EX</w:t>
      </w:r>
    </w:p>
    <w:p w14:paraId="39287E56" w14:textId="77777777" w:rsidR="00A82687" w:rsidRDefault="00A82687">
      <w:pPr>
        <w:pStyle w:val="a3"/>
        <w:spacing w:before="8"/>
        <w:rPr>
          <w:b/>
          <w:i/>
          <w:sz w:val="14"/>
        </w:rPr>
      </w:pPr>
    </w:p>
    <w:p w14:paraId="61838A59" w14:textId="77777777" w:rsidR="00A82687" w:rsidRDefault="00A82687">
      <w:pPr>
        <w:rPr>
          <w:sz w:val="14"/>
        </w:rPr>
        <w:sectPr w:rsidR="00A82687">
          <w:type w:val="continuous"/>
          <w:pgSz w:w="11900" w:h="16840"/>
          <w:pgMar w:top="520" w:right="700" w:bottom="0" w:left="1020" w:header="720" w:footer="720" w:gutter="0"/>
          <w:cols w:space="720"/>
        </w:sectPr>
      </w:pPr>
    </w:p>
    <w:p w14:paraId="0E5F61C2" w14:textId="77777777" w:rsidR="00A82687" w:rsidRDefault="000C43D5">
      <w:pPr>
        <w:pStyle w:val="2"/>
        <w:spacing w:before="93"/>
      </w:pPr>
      <w:r>
        <w:t>Назначение</w:t>
      </w:r>
    </w:p>
    <w:p w14:paraId="7C3618C1" w14:textId="77777777" w:rsidR="00A82687" w:rsidRDefault="000C43D5">
      <w:pPr>
        <w:pStyle w:val="a3"/>
        <w:spacing w:before="64"/>
        <w:ind w:left="112" w:right="38"/>
        <w:jc w:val="both"/>
      </w:pPr>
      <w:r>
        <w:t>Анализатор модели ASOMA 682T-HP-EX предназначен для определения концентрации общей серы в нефти и мазуте. Основное приложение анализатора – кон</w:t>
      </w:r>
      <w:r>
        <w:t>троль качества нефти на узлах учета, таможенных терминалах и других местах перехода права собственности.</w:t>
      </w:r>
    </w:p>
    <w:p w14:paraId="426096AE" w14:textId="77777777" w:rsidR="00A82687" w:rsidRDefault="000C43D5">
      <w:pPr>
        <w:pStyle w:val="2"/>
        <w:spacing w:before="190"/>
      </w:pPr>
      <w:r>
        <w:t>Описание</w:t>
      </w:r>
    </w:p>
    <w:p w14:paraId="0E8160B7" w14:textId="77777777" w:rsidR="00A82687" w:rsidRDefault="000C43D5">
      <w:pPr>
        <w:pStyle w:val="a3"/>
        <w:spacing w:before="63"/>
        <w:ind w:left="112" w:right="40"/>
        <w:jc w:val="both"/>
      </w:pPr>
      <w:r>
        <w:t xml:space="preserve">В анализаторе реализован </w:t>
      </w:r>
      <w:r>
        <w:rPr>
          <w:i/>
        </w:rPr>
        <w:t xml:space="preserve">рентгено- абсорбционный </w:t>
      </w:r>
      <w:r>
        <w:t>принцип измерения. Слабое излучение рентгеновской трубки, проходя через анализируемое веществ</w:t>
      </w:r>
      <w:r>
        <w:t>о, поглощается атомами серы и ослабляется. Излучение  подобрано таким, чтобы его поглощение происходило в основном при взаимодействии с атомами серы. При этом ослабление излучения другими атомами, входящими в состав углеводородов, не критично и определяетс</w:t>
      </w:r>
      <w:r>
        <w:t>я плотностью анализируемой пробы. Ослабление излучения при его прохождении через проточную измерительную ячейку преобразуется - с учетом поправки на плотность пробы - в концентрацию соединений серы. Необходимые для расчета данные о плотности пробы вводятся</w:t>
      </w:r>
      <w:r>
        <w:t xml:space="preserve"> через аналоговый вход от внешнего прецизионного плотномера. Это позволяет проводить измерения на потоке при рабочих давлении и температуре.</w:t>
      </w:r>
    </w:p>
    <w:p w14:paraId="1467F53F" w14:textId="77777777" w:rsidR="00A82687" w:rsidRDefault="000C43D5">
      <w:pPr>
        <w:pStyle w:val="a3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C28159" wp14:editId="63E9418B">
            <wp:simplePos x="0" y="0"/>
            <wp:positionH relativeFrom="page">
              <wp:posOffset>1008888</wp:posOffset>
            </wp:positionH>
            <wp:positionV relativeFrom="paragraph">
              <wp:posOffset>139854</wp:posOffset>
            </wp:positionV>
            <wp:extent cx="2325624" cy="210007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81E2B" w14:textId="77777777" w:rsidR="00A82687" w:rsidRDefault="00A82687">
      <w:pPr>
        <w:pStyle w:val="a3"/>
        <w:spacing w:before="11"/>
        <w:rPr>
          <w:sz w:val="19"/>
        </w:rPr>
      </w:pPr>
    </w:p>
    <w:p w14:paraId="4AEA3EDF" w14:textId="77777777" w:rsidR="00A82687" w:rsidRDefault="000C43D5">
      <w:pPr>
        <w:spacing w:line="242" w:lineRule="auto"/>
        <w:ind w:left="112" w:right="41"/>
        <w:jc w:val="both"/>
        <w:rPr>
          <w:sz w:val="20"/>
        </w:rPr>
      </w:pPr>
      <w:r>
        <w:rPr>
          <w:i/>
          <w:sz w:val="20"/>
        </w:rPr>
        <w:t xml:space="preserve">Микропроцессорное управление </w:t>
      </w:r>
      <w:r>
        <w:rPr>
          <w:sz w:val="20"/>
        </w:rPr>
        <w:t>обеспечивает контроль важнейших параметров работы анализатора.</w:t>
      </w:r>
    </w:p>
    <w:p w14:paraId="177AD68B" w14:textId="77777777" w:rsidR="00A82687" w:rsidRDefault="000C43D5">
      <w:pPr>
        <w:pStyle w:val="a3"/>
        <w:tabs>
          <w:tab w:val="left" w:pos="3511"/>
        </w:tabs>
        <w:spacing w:before="119" w:line="242" w:lineRule="auto"/>
        <w:ind w:left="112" w:right="40"/>
        <w:jc w:val="both"/>
      </w:pPr>
      <w:r>
        <w:rPr>
          <w:i/>
        </w:rPr>
        <w:t xml:space="preserve">Программирование </w:t>
      </w:r>
      <w:r>
        <w:t>реж</w:t>
      </w:r>
      <w:r>
        <w:t>имов работы и мониторинг состояния осуществляется с помощью сенсорного дисплея, размещаемого снаружи или внутри корпуса, и не требует специализированного</w:t>
      </w:r>
      <w:r>
        <w:tab/>
      </w:r>
      <w:r>
        <w:rPr>
          <w:spacing w:val="-4"/>
        </w:rPr>
        <w:t xml:space="preserve">программного </w:t>
      </w:r>
      <w:r>
        <w:t>обеспечения.</w:t>
      </w:r>
    </w:p>
    <w:p w14:paraId="5E854AB1" w14:textId="77777777" w:rsidR="00A82687" w:rsidRDefault="000C43D5">
      <w:pPr>
        <w:pStyle w:val="a3"/>
        <w:spacing w:before="10" w:after="39"/>
        <w:rPr>
          <w:sz w:val="16"/>
        </w:rPr>
      </w:pPr>
      <w:r>
        <w:br w:type="column"/>
      </w:r>
    </w:p>
    <w:p w14:paraId="3A8F4AFB" w14:textId="77777777" w:rsidR="00A82687" w:rsidRDefault="000C43D5">
      <w:pPr>
        <w:pStyle w:val="a3"/>
        <w:ind w:left="112"/>
      </w:pPr>
      <w:r>
        <w:rPr>
          <w:noProof/>
        </w:rPr>
        <w:drawing>
          <wp:inline distT="0" distB="0" distL="0" distR="0" wp14:anchorId="06846869" wp14:editId="20A641BD">
            <wp:extent cx="3052232" cy="203739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232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617E" w14:textId="77777777" w:rsidR="00A82687" w:rsidRDefault="000C43D5">
      <w:pPr>
        <w:spacing w:before="78" w:line="242" w:lineRule="auto"/>
        <w:ind w:left="128" w:right="213"/>
        <w:jc w:val="both"/>
        <w:rPr>
          <w:sz w:val="20"/>
        </w:rPr>
      </w:pPr>
      <w:r>
        <w:rPr>
          <w:i/>
          <w:sz w:val="20"/>
        </w:rPr>
        <w:t xml:space="preserve">Уникальная конструкция </w:t>
      </w:r>
      <w:r>
        <w:rPr>
          <w:sz w:val="20"/>
        </w:rPr>
        <w:t>проточной ячейки позволяет отказаться от специальной системы пробоподготовки.</w:t>
      </w:r>
    </w:p>
    <w:p w14:paraId="7574DE3C" w14:textId="77777777" w:rsidR="00A82687" w:rsidRDefault="000C43D5">
      <w:pPr>
        <w:pStyle w:val="a3"/>
        <w:spacing w:before="119"/>
        <w:ind w:left="128" w:right="213"/>
        <w:jc w:val="both"/>
      </w:pPr>
      <w:r>
        <w:t>Система пробоотбора может комплектоваться дополнительными автоматическими клапанами для отсечки анализатора от технологического процесса. Такая отсечка при необходимости производ</w:t>
      </w:r>
      <w:r>
        <w:t>ится с помощью формируемых контроллером сигналов тревожной сигнализации, которые активируют клапаны.</w:t>
      </w:r>
    </w:p>
    <w:p w14:paraId="1F7E9E3B" w14:textId="77777777" w:rsidR="00A82687" w:rsidRDefault="000C43D5">
      <w:pPr>
        <w:pStyle w:val="a3"/>
        <w:spacing w:before="123"/>
        <w:ind w:left="128" w:right="212"/>
        <w:jc w:val="both"/>
      </w:pPr>
      <w:r>
        <w:rPr>
          <w:i/>
        </w:rPr>
        <w:t xml:space="preserve">Коммуникационные возможности </w:t>
      </w:r>
      <w:r>
        <w:t>анализатора соответствуют требованиям современного производства. Приборы имеют несколько программируемых аналоговых и дискретн</w:t>
      </w:r>
      <w:r>
        <w:t>ых выходов, а также снабжены интерфейсами Profinet и Profibus для программирования режимов работы анализатора и мониторинга его состояния.</w:t>
      </w:r>
    </w:p>
    <w:p w14:paraId="57890FC7" w14:textId="77777777" w:rsidR="00A82687" w:rsidRDefault="00A82687">
      <w:pPr>
        <w:pStyle w:val="a3"/>
        <w:spacing w:before="5"/>
        <w:rPr>
          <w:sz w:val="22"/>
        </w:rPr>
      </w:pPr>
    </w:p>
    <w:p w14:paraId="402F3709" w14:textId="77777777" w:rsidR="00A82687" w:rsidRDefault="000C43D5">
      <w:pPr>
        <w:pStyle w:val="2"/>
        <w:spacing w:before="1"/>
        <w:ind w:left="128"/>
      </w:pPr>
      <w:r>
        <w:t>Приложения</w:t>
      </w:r>
    </w:p>
    <w:p w14:paraId="6E5F23C4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ind w:left="416" w:hanging="289"/>
        <w:rPr>
          <w:sz w:val="20"/>
        </w:rPr>
      </w:pPr>
      <w:r>
        <w:rPr>
          <w:sz w:val="20"/>
        </w:rPr>
        <w:t>Контроль содержания серы в сырой</w:t>
      </w:r>
      <w:r>
        <w:rPr>
          <w:spacing w:val="3"/>
          <w:sz w:val="20"/>
        </w:rPr>
        <w:t xml:space="preserve"> </w:t>
      </w:r>
      <w:r>
        <w:rPr>
          <w:sz w:val="20"/>
        </w:rPr>
        <w:t>нефти</w:t>
      </w:r>
    </w:p>
    <w:p w14:paraId="52EC0BB1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  <w:tab w:val="left" w:pos="1750"/>
          <w:tab w:val="left" w:pos="2513"/>
          <w:tab w:val="left" w:pos="3670"/>
        </w:tabs>
        <w:ind w:right="212" w:firstLine="0"/>
        <w:rPr>
          <w:sz w:val="20"/>
        </w:rPr>
      </w:pPr>
      <w:r>
        <w:rPr>
          <w:sz w:val="20"/>
        </w:rPr>
        <w:t>Управление</w:t>
      </w:r>
      <w:r>
        <w:rPr>
          <w:sz w:val="20"/>
        </w:rPr>
        <w:tab/>
        <w:t>узлом</w:t>
      </w:r>
      <w:r>
        <w:rPr>
          <w:sz w:val="20"/>
        </w:rPr>
        <w:tab/>
        <w:t>смешения</w:t>
      </w:r>
      <w:r>
        <w:rPr>
          <w:sz w:val="20"/>
        </w:rPr>
        <w:tab/>
        <w:t xml:space="preserve">нефти </w:t>
      </w:r>
      <w:r>
        <w:rPr>
          <w:spacing w:val="-5"/>
          <w:sz w:val="20"/>
        </w:rPr>
        <w:t xml:space="preserve">для </w:t>
      </w:r>
      <w:r>
        <w:rPr>
          <w:sz w:val="20"/>
        </w:rPr>
        <w:t>соответствия требованиям</w:t>
      </w:r>
      <w:r>
        <w:rPr>
          <w:spacing w:val="2"/>
          <w:sz w:val="20"/>
        </w:rPr>
        <w:t xml:space="preserve"> </w:t>
      </w:r>
      <w:r>
        <w:rPr>
          <w:sz w:val="20"/>
        </w:rPr>
        <w:t>спецификации</w:t>
      </w:r>
    </w:p>
    <w:p w14:paraId="448957F2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ind w:right="213" w:firstLine="0"/>
        <w:jc w:val="both"/>
        <w:rPr>
          <w:sz w:val="20"/>
        </w:rPr>
      </w:pPr>
      <w:r>
        <w:rPr>
          <w:sz w:val="20"/>
        </w:rPr>
        <w:t xml:space="preserve">Измерение концентрации серы в </w:t>
      </w:r>
      <w:r>
        <w:rPr>
          <w:spacing w:val="-8"/>
          <w:sz w:val="20"/>
        </w:rPr>
        <w:t xml:space="preserve">вязких </w:t>
      </w:r>
      <w:r>
        <w:rPr>
          <w:sz w:val="20"/>
        </w:rPr>
        <w:t>нефтепродуктах, в том числе содержащих парафины, при высоких температурах и под давлением</w:t>
      </w:r>
    </w:p>
    <w:p w14:paraId="63FFC62A" w14:textId="77777777" w:rsidR="00A82687" w:rsidRDefault="00A82687">
      <w:pPr>
        <w:pStyle w:val="a3"/>
        <w:spacing w:before="10"/>
        <w:rPr>
          <w:sz w:val="21"/>
        </w:rPr>
      </w:pPr>
    </w:p>
    <w:p w14:paraId="66621EA2" w14:textId="77777777" w:rsidR="00A82687" w:rsidRDefault="000C43D5">
      <w:pPr>
        <w:pStyle w:val="2"/>
        <w:ind w:left="128"/>
      </w:pPr>
      <w:r>
        <w:t>Особенности</w:t>
      </w:r>
    </w:p>
    <w:p w14:paraId="5D3E23D6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spacing w:before="64"/>
        <w:ind w:left="416" w:hanging="289"/>
        <w:rPr>
          <w:sz w:val="20"/>
        </w:rPr>
      </w:pPr>
      <w:r>
        <w:rPr>
          <w:sz w:val="20"/>
        </w:rPr>
        <w:t>Оптимальность для анализа сырой</w:t>
      </w:r>
      <w:r>
        <w:rPr>
          <w:spacing w:val="6"/>
          <w:sz w:val="20"/>
        </w:rPr>
        <w:t xml:space="preserve"> </w:t>
      </w:r>
      <w:r>
        <w:rPr>
          <w:sz w:val="20"/>
        </w:rPr>
        <w:t>нефти</w:t>
      </w:r>
    </w:p>
    <w:p w14:paraId="33F1B3AA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spacing w:before="62"/>
        <w:ind w:left="416" w:hanging="289"/>
        <w:rPr>
          <w:sz w:val="20"/>
        </w:rPr>
      </w:pPr>
      <w:r>
        <w:rPr>
          <w:sz w:val="20"/>
        </w:rPr>
        <w:t>Взрывонепроницаемая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оболочка</w:t>
      </w:r>
    </w:p>
    <w:p w14:paraId="5A866250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spacing w:before="64"/>
        <w:ind w:left="416" w:hanging="289"/>
        <w:rPr>
          <w:sz w:val="20"/>
        </w:rPr>
      </w:pPr>
      <w:r>
        <w:rPr>
          <w:sz w:val="20"/>
        </w:rPr>
        <w:t>Температура пробы до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</w:p>
    <w:p w14:paraId="707683EE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spacing w:before="61"/>
        <w:ind w:left="416" w:hanging="289"/>
        <w:rPr>
          <w:sz w:val="20"/>
        </w:rPr>
      </w:pPr>
      <w:r>
        <w:rPr>
          <w:sz w:val="20"/>
        </w:rPr>
        <w:t>Рабочее давление до 55 бар</w:t>
      </w:r>
    </w:p>
    <w:p w14:paraId="0DB03EBF" w14:textId="77777777" w:rsidR="00A82687" w:rsidRDefault="000C43D5">
      <w:pPr>
        <w:pStyle w:val="a4"/>
        <w:numPr>
          <w:ilvl w:val="0"/>
          <w:numId w:val="7"/>
        </w:numPr>
        <w:tabs>
          <w:tab w:val="left" w:pos="417"/>
        </w:tabs>
        <w:ind w:left="416" w:hanging="289"/>
        <w:rPr>
          <w:sz w:val="20"/>
        </w:rPr>
      </w:pPr>
      <w:r>
        <w:rPr>
          <w:sz w:val="20"/>
        </w:rPr>
        <w:t>Большое сечение измерительной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ячейки</w:t>
      </w:r>
    </w:p>
    <w:p w14:paraId="3D63CD79" w14:textId="77777777" w:rsidR="00A82687" w:rsidRDefault="00A82687">
      <w:pPr>
        <w:rPr>
          <w:sz w:val="20"/>
        </w:rPr>
        <w:sectPr w:rsidR="00A82687">
          <w:type w:val="continuous"/>
          <w:pgSz w:w="11900" w:h="16840"/>
          <w:pgMar w:top="520" w:right="700" w:bottom="0" w:left="1020" w:header="720" w:footer="720" w:gutter="0"/>
          <w:cols w:num="2" w:space="720" w:equalWidth="0">
            <w:col w:w="4862" w:space="292"/>
            <w:col w:w="5026"/>
          </w:cols>
        </w:sectPr>
      </w:pPr>
    </w:p>
    <w:p w14:paraId="38CE7B9E" w14:textId="77777777" w:rsidR="00A82687" w:rsidRDefault="00A82687">
      <w:pPr>
        <w:pStyle w:val="a3"/>
      </w:pPr>
    </w:p>
    <w:p w14:paraId="64691C03" w14:textId="77777777" w:rsidR="00A82687" w:rsidRDefault="00A82687">
      <w:pPr>
        <w:pStyle w:val="a3"/>
        <w:spacing w:before="9"/>
        <w:rPr>
          <w:sz w:val="10"/>
        </w:rPr>
      </w:pPr>
    </w:p>
    <w:p w14:paraId="2F648119" w14:textId="77777777" w:rsidR="00A82687" w:rsidRDefault="000C43D5">
      <w:pPr>
        <w:pStyle w:val="a3"/>
        <w:ind w:left="3717"/>
      </w:pPr>
      <w:r>
        <w:pict w14:anchorId="712972F3">
          <v:group id="_x0000_s1031" style="width:130.15pt;height:20.3pt;mso-position-horizontal-relative:char;mso-position-vertical-relative:line" coordsize="2603,406">
            <v:shape id="_x0000_s1036" style="position:absolute;top:268;width:217;height:132" coordorigin=",269" coordsize="217,132" path="m217,269r-146,l,401r142,l217,269xe" fillcolor="#d80000" stroked="f">
              <v:path arrowok="t"/>
            </v:shape>
            <v:shape id="_x0000_s1035" style="position:absolute;left:145;width:839;height:401" coordorigin="146" coordsize="839,401" o:spt="100" adj="0,,0" path="m453,400l228,,146,140,295,400r158,xm984,400l980,36r-177,l721,212,638,36r-181,l457,400r126,l587,232r78,168l776,400,854,236r,164l984,40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47;top:36;width:749;height:369">
              <v:imagedata r:id="rId7" o:title=""/>
            </v:shape>
            <v:shape id="_x0000_s1033" style="position:absolute;left:1830;top:39;width:335;height:366" coordorigin="1831,40" coordsize="335,366" path="m2165,40r-334,l1831,136r,32l1831,260r,44l1831,406r334,l2165,304r-200,l1965,260r197,l2162,168r-197,l1965,136r200,l2165,40xe" fillcolor="black" stroked="f">
              <v:path arrowok="t"/>
            </v:shape>
            <v:shape id="_x0000_s1032" type="#_x0000_t75" style="position:absolute;left:2216;top:36;width:386;height:365">
              <v:imagedata r:id="rId8" o:title=""/>
            </v:shape>
            <w10:anchorlock/>
          </v:group>
        </w:pict>
      </w:r>
    </w:p>
    <w:p w14:paraId="3DB96609" w14:textId="77777777" w:rsidR="00A82687" w:rsidRDefault="00A82687">
      <w:pPr>
        <w:pStyle w:val="a3"/>
        <w:spacing w:before="6"/>
        <w:rPr>
          <w:sz w:val="5"/>
        </w:rPr>
      </w:pPr>
    </w:p>
    <w:p w14:paraId="0C8C4BD4" w14:textId="77777777" w:rsidR="00A82687" w:rsidRDefault="000C43D5">
      <w:pPr>
        <w:pStyle w:val="a3"/>
        <w:spacing w:line="91" w:lineRule="exact"/>
        <w:ind w:left="3729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5E2BD514" wp14:editId="529A4365">
            <wp:extent cx="1637330" cy="58293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30" cy="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AE59" w14:textId="77777777" w:rsidR="00A82687" w:rsidRDefault="00A82687">
      <w:pPr>
        <w:spacing w:line="91" w:lineRule="exact"/>
        <w:rPr>
          <w:sz w:val="9"/>
        </w:rPr>
        <w:sectPr w:rsidR="00A82687">
          <w:type w:val="continuous"/>
          <w:pgSz w:w="11900" w:h="16840"/>
          <w:pgMar w:top="520" w:right="700" w:bottom="0" w:left="1020" w:header="720" w:footer="720" w:gutter="0"/>
          <w:cols w:space="720"/>
        </w:sectPr>
      </w:pPr>
    </w:p>
    <w:p w14:paraId="753E7E38" w14:textId="77777777" w:rsidR="00A82687" w:rsidRDefault="000C43D5">
      <w:pPr>
        <w:pStyle w:val="1"/>
        <w:spacing w:line="242" w:lineRule="auto"/>
      </w:pPr>
      <w:r>
        <w:lastRenderedPageBreak/>
        <w:t>Анализатор серы в нефти модели</w:t>
      </w:r>
      <w:r>
        <w:rPr>
          <w:spacing w:val="-56"/>
        </w:rPr>
        <w:t xml:space="preserve"> </w:t>
      </w:r>
      <w:r>
        <w:t xml:space="preserve">ASOMA </w:t>
      </w:r>
      <w:r>
        <w:t>682T-HP-EX</w:t>
      </w:r>
    </w:p>
    <w:p w14:paraId="797D2E24" w14:textId="77777777" w:rsidR="00A82687" w:rsidRDefault="000C43D5">
      <w:pPr>
        <w:spacing w:before="123"/>
        <w:ind w:left="165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52600866" w14:textId="77777777" w:rsidR="00A82687" w:rsidRDefault="00A82687">
      <w:pPr>
        <w:pStyle w:val="a3"/>
        <w:spacing w:before="11"/>
        <w:rPr>
          <w:b/>
          <w:i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A82687" w14:paraId="12DD7ACE" w14:textId="77777777">
        <w:trPr>
          <w:trHeight w:val="316"/>
        </w:trPr>
        <w:tc>
          <w:tcPr>
            <w:tcW w:w="3403" w:type="dxa"/>
            <w:shd w:val="clear" w:color="auto" w:fill="D7D7D7"/>
          </w:tcPr>
          <w:p w14:paraId="492F0B7E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Анализируемые среды</w:t>
            </w:r>
          </w:p>
        </w:tc>
        <w:tc>
          <w:tcPr>
            <w:tcW w:w="6379" w:type="dxa"/>
            <w:shd w:val="clear" w:color="auto" w:fill="D7D7D7"/>
          </w:tcPr>
          <w:p w14:paraId="2CD8C3D5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Сырая нефть, высоковязкие нефтепродукты</w:t>
            </w:r>
          </w:p>
        </w:tc>
      </w:tr>
      <w:tr w:rsidR="00A82687" w14:paraId="79C14E42" w14:textId="77777777">
        <w:trPr>
          <w:trHeight w:val="316"/>
        </w:trPr>
        <w:tc>
          <w:tcPr>
            <w:tcW w:w="3403" w:type="dxa"/>
          </w:tcPr>
          <w:p w14:paraId="55BCDBB2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 измерения</w:t>
            </w:r>
          </w:p>
        </w:tc>
        <w:tc>
          <w:tcPr>
            <w:tcW w:w="6379" w:type="dxa"/>
          </w:tcPr>
          <w:p w14:paraId="4945119B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Массовая доля 0,04…6%</w:t>
            </w:r>
          </w:p>
        </w:tc>
      </w:tr>
      <w:tr w:rsidR="00A82687" w14:paraId="6D58E4B2" w14:textId="77777777">
        <w:trPr>
          <w:trHeight w:val="321"/>
        </w:trPr>
        <w:tc>
          <w:tcPr>
            <w:tcW w:w="3403" w:type="dxa"/>
            <w:shd w:val="clear" w:color="auto" w:fill="D7D7D7"/>
          </w:tcPr>
          <w:p w14:paraId="07E429D9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Относительная погрешность</w:t>
            </w:r>
          </w:p>
        </w:tc>
        <w:tc>
          <w:tcPr>
            <w:tcW w:w="6379" w:type="dxa"/>
            <w:shd w:val="clear" w:color="auto" w:fill="D7D7D7"/>
          </w:tcPr>
          <w:p w14:paraId="572624A6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3 % в диапазоне 0,1…6%</w:t>
            </w:r>
          </w:p>
        </w:tc>
      </w:tr>
      <w:tr w:rsidR="00A82687" w14:paraId="5F325739" w14:textId="77777777">
        <w:trPr>
          <w:trHeight w:val="316"/>
        </w:trPr>
        <w:tc>
          <w:tcPr>
            <w:tcW w:w="3403" w:type="dxa"/>
          </w:tcPr>
          <w:p w14:paraId="064A6C31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анализа</w:t>
            </w:r>
          </w:p>
        </w:tc>
        <w:tc>
          <w:tcPr>
            <w:tcW w:w="6379" w:type="dxa"/>
          </w:tcPr>
          <w:p w14:paraId="70253A16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 с</w:t>
            </w:r>
          </w:p>
        </w:tc>
      </w:tr>
      <w:tr w:rsidR="00A82687" w14:paraId="30C9D381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29492204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среды</w:t>
            </w:r>
          </w:p>
        </w:tc>
        <w:tc>
          <w:tcPr>
            <w:tcW w:w="6379" w:type="dxa"/>
            <w:shd w:val="clear" w:color="auto" w:fill="D7D7D7"/>
          </w:tcPr>
          <w:p w14:paraId="75AAB40A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 (до 200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 по дополнительному заказу)</w:t>
            </w:r>
          </w:p>
        </w:tc>
      </w:tr>
      <w:tr w:rsidR="00A82687" w14:paraId="74C9FC77" w14:textId="77777777">
        <w:trPr>
          <w:trHeight w:val="359"/>
        </w:trPr>
        <w:tc>
          <w:tcPr>
            <w:tcW w:w="3403" w:type="dxa"/>
          </w:tcPr>
          <w:p w14:paraId="49C3B6AF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среды</w:t>
            </w:r>
          </w:p>
        </w:tc>
        <w:tc>
          <w:tcPr>
            <w:tcW w:w="6379" w:type="dxa"/>
          </w:tcPr>
          <w:p w14:paraId="7444219A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До 55 бар</w:t>
            </w:r>
          </w:p>
        </w:tc>
      </w:tr>
      <w:tr w:rsidR="00A82687" w14:paraId="45DA1324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03E75440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 через анализатор</w:t>
            </w:r>
          </w:p>
        </w:tc>
        <w:tc>
          <w:tcPr>
            <w:tcW w:w="6379" w:type="dxa"/>
            <w:shd w:val="clear" w:color="auto" w:fill="D7D7D7"/>
          </w:tcPr>
          <w:p w14:paraId="5C97C7D5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До 200 л/мин</w:t>
            </w:r>
          </w:p>
        </w:tc>
      </w:tr>
      <w:tr w:rsidR="00A82687" w14:paraId="0EE3849B" w14:textId="77777777">
        <w:trPr>
          <w:trHeight w:val="359"/>
        </w:trPr>
        <w:tc>
          <w:tcPr>
            <w:tcW w:w="3403" w:type="dxa"/>
          </w:tcPr>
          <w:p w14:paraId="5A1D20F8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Плотномер</w:t>
            </w:r>
          </w:p>
        </w:tc>
        <w:tc>
          <w:tcPr>
            <w:tcW w:w="6379" w:type="dxa"/>
          </w:tcPr>
          <w:p w14:paraId="2A86C294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Встроенный или внешний, поставляемый заказчиком</w:t>
            </w:r>
          </w:p>
        </w:tc>
      </w:tr>
      <w:tr w:rsidR="00A82687" w14:paraId="788D63BC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4962E3CF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6379" w:type="dxa"/>
            <w:shd w:val="clear" w:color="auto" w:fill="D7D7D7"/>
          </w:tcPr>
          <w:p w14:paraId="71CA4A32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ЖК, сенсорный</w:t>
            </w:r>
          </w:p>
        </w:tc>
      </w:tr>
      <w:tr w:rsidR="00A82687" w14:paraId="0E20866F" w14:textId="77777777">
        <w:trPr>
          <w:trHeight w:val="359"/>
        </w:trPr>
        <w:tc>
          <w:tcPr>
            <w:tcW w:w="3403" w:type="dxa"/>
          </w:tcPr>
          <w:p w14:paraId="63382200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Клавиатура</w:t>
            </w:r>
          </w:p>
        </w:tc>
        <w:tc>
          <w:tcPr>
            <w:tcW w:w="6379" w:type="dxa"/>
          </w:tcPr>
          <w:p w14:paraId="7B7D39D4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Сенсорная, на дисплее</w:t>
            </w:r>
          </w:p>
        </w:tc>
      </w:tr>
      <w:tr w:rsidR="00A82687" w14:paraId="1C065FF9" w14:textId="77777777">
        <w:trPr>
          <w:trHeight w:val="614"/>
        </w:trPr>
        <w:tc>
          <w:tcPr>
            <w:tcW w:w="3403" w:type="dxa"/>
            <w:shd w:val="clear" w:color="auto" w:fill="D7D7D7"/>
          </w:tcPr>
          <w:p w14:paraId="10D21317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Входы</w:t>
            </w:r>
          </w:p>
        </w:tc>
        <w:tc>
          <w:tcPr>
            <w:tcW w:w="6379" w:type="dxa"/>
            <w:shd w:val="clear" w:color="auto" w:fill="D7D7D7"/>
          </w:tcPr>
          <w:p w14:paraId="663306C3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аналоговый вход 4…20 мА для плотномера</w:t>
            </w:r>
          </w:p>
          <w:p w14:paraId="4E974387" w14:textId="77777777" w:rsidR="00A82687" w:rsidRDefault="000C43D5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2 реле удаленного запуска/останова и смены режимов</w:t>
            </w:r>
          </w:p>
        </w:tc>
      </w:tr>
      <w:tr w:rsidR="00A82687" w14:paraId="16548C9D" w14:textId="77777777">
        <w:trPr>
          <w:trHeight w:val="575"/>
        </w:trPr>
        <w:tc>
          <w:tcPr>
            <w:tcW w:w="3403" w:type="dxa"/>
          </w:tcPr>
          <w:p w14:paraId="3B9C8356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Выходы</w:t>
            </w:r>
          </w:p>
        </w:tc>
        <w:tc>
          <w:tcPr>
            <w:tcW w:w="6379" w:type="dxa"/>
          </w:tcPr>
          <w:p w14:paraId="7E6756B3" w14:textId="77777777" w:rsidR="00A82687" w:rsidRDefault="000C43D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8"/>
              <w:ind w:hanging="169"/>
              <w:rPr>
                <w:sz w:val="20"/>
              </w:rPr>
            </w:pPr>
            <w:r>
              <w:rPr>
                <w:sz w:val="20"/>
              </w:rPr>
              <w:t>аналоговых выхода, 4...20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</w:p>
          <w:p w14:paraId="5D7616C6" w14:textId="77777777" w:rsidR="00A82687" w:rsidRDefault="000C43D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8"/>
              <w:ind w:hanging="169"/>
              <w:rPr>
                <w:sz w:val="20"/>
              </w:rPr>
            </w:pPr>
            <w:r>
              <w:rPr>
                <w:sz w:val="20"/>
              </w:rPr>
              <w:t>релейных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</w:p>
        </w:tc>
      </w:tr>
      <w:tr w:rsidR="00A82687" w14:paraId="2951AE60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44A31EFA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Интерфейсы</w:t>
            </w:r>
          </w:p>
        </w:tc>
        <w:tc>
          <w:tcPr>
            <w:tcW w:w="6379" w:type="dxa"/>
            <w:shd w:val="clear" w:color="auto" w:fill="D7D7D7"/>
          </w:tcPr>
          <w:p w14:paraId="40E842A6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RS485, Profibus, Profinet</w:t>
            </w:r>
          </w:p>
        </w:tc>
      </w:tr>
      <w:tr w:rsidR="00A82687" w14:paraId="320D88B6" w14:textId="77777777">
        <w:trPr>
          <w:trHeight w:val="359"/>
        </w:trPr>
        <w:tc>
          <w:tcPr>
            <w:tcW w:w="3403" w:type="dxa"/>
          </w:tcPr>
          <w:p w14:paraId="3D9B6B12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379" w:type="dxa"/>
          </w:tcPr>
          <w:p w14:paraId="0E677559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230 В, 50 Гц, 300 Вт</w:t>
            </w:r>
          </w:p>
        </w:tc>
      </w:tr>
      <w:tr w:rsidR="00A82687" w14:paraId="2526E3F8" w14:textId="77777777">
        <w:trPr>
          <w:trHeight w:val="537"/>
        </w:trPr>
        <w:tc>
          <w:tcPr>
            <w:tcW w:w="3403" w:type="dxa"/>
            <w:shd w:val="clear" w:color="auto" w:fill="D7D7D7"/>
          </w:tcPr>
          <w:p w14:paraId="4C427C7E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Воздух КИП, давление</w:t>
            </w:r>
          </w:p>
        </w:tc>
        <w:tc>
          <w:tcPr>
            <w:tcW w:w="6379" w:type="dxa"/>
            <w:shd w:val="clear" w:color="auto" w:fill="D7D7D7"/>
          </w:tcPr>
          <w:p w14:paraId="2DAEC777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4,8…6,9 бар изб. (для анализаторов с наддувом корпуса во взрывозащищенном исполнении Exp)</w:t>
            </w:r>
          </w:p>
        </w:tc>
      </w:tr>
      <w:tr w:rsidR="00A82687" w14:paraId="2B33C223" w14:textId="77777777">
        <w:trPr>
          <w:trHeight w:val="359"/>
        </w:trPr>
        <w:tc>
          <w:tcPr>
            <w:tcW w:w="3403" w:type="dxa"/>
          </w:tcPr>
          <w:p w14:paraId="60045C5C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</w:t>
            </w:r>
          </w:p>
        </w:tc>
        <w:tc>
          <w:tcPr>
            <w:tcW w:w="6379" w:type="dxa"/>
          </w:tcPr>
          <w:p w14:paraId="22582943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2160х800х300 мм, включая клапаны</w:t>
            </w:r>
          </w:p>
        </w:tc>
      </w:tr>
      <w:tr w:rsidR="00A82687" w14:paraId="6640A683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7BAB8789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Масса нетто</w:t>
            </w:r>
          </w:p>
        </w:tc>
        <w:tc>
          <w:tcPr>
            <w:tcW w:w="6379" w:type="dxa"/>
            <w:shd w:val="clear" w:color="auto" w:fill="D7D7D7"/>
          </w:tcPr>
          <w:p w14:paraId="7E7B9644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Макс. 350 кг (во взрывозащищенном исполнении Exd)</w:t>
            </w:r>
          </w:p>
        </w:tc>
      </w:tr>
      <w:tr w:rsidR="00A82687" w14:paraId="6431394F" w14:textId="77777777">
        <w:trPr>
          <w:trHeight w:val="359"/>
        </w:trPr>
        <w:tc>
          <w:tcPr>
            <w:tcW w:w="3403" w:type="dxa"/>
          </w:tcPr>
          <w:p w14:paraId="5940DA83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 температура</w:t>
            </w:r>
          </w:p>
        </w:tc>
        <w:tc>
          <w:tcPr>
            <w:tcW w:w="6379" w:type="dxa"/>
          </w:tcPr>
          <w:p w14:paraId="280BB526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-15...+40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</w:tc>
      </w:tr>
      <w:tr w:rsidR="00A82687" w14:paraId="641ACE82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4F7088FB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защиты</w:t>
            </w:r>
          </w:p>
        </w:tc>
        <w:tc>
          <w:tcPr>
            <w:tcW w:w="6379" w:type="dxa"/>
            <w:shd w:val="clear" w:color="auto" w:fill="D7D7D7"/>
          </w:tcPr>
          <w:p w14:paraId="2B43D3A3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IP66</w:t>
            </w:r>
          </w:p>
        </w:tc>
      </w:tr>
      <w:tr w:rsidR="00A82687" w14:paraId="45B8EC82" w14:textId="77777777">
        <w:trPr>
          <w:trHeight w:val="359"/>
        </w:trPr>
        <w:tc>
          <w:tcPr>
            <w:tcW w:w="3403" w:type="dxa"/>
          </w:tcPr>
          <w:p w14:paraId="73713733" w14:textId="77777777" w:rsidR="00A82687" w:rsidRDefault="000C43D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Взрывозащита</w:t>
            </w:r>
          </w:p>
        </w:tc>
        <w:tc>
          <w:tcPr>
            <w:tcW w:w="6379" w:type="dxa"/>
          </w:tcPr>
          <w:p w14:paraId="595FA7E5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1Exd[ia]IIAT4</w:t>
            </w:r>
          </w:p>
        </w:tc>
      </w:tr>
      <w:tr w:rsidR="00A82687" w14:paraId="4005A696" w14:textId="77777777">
        <w:trPr>
          <w:trHeight w:val="599"/>
        </w:trPr>
        <w:tc>
          <w:tcPr>
            <w:tcW w:w="3403" w:type="dxa"/>
            <w:shd w:val="clear" w:color="auto" w:fill="D8D8D8"/>
          </w:tcPr>
          <w:p w14:paraId="62561BC7" w14:textId="77777777" w:rsidR="00A82687" w:rsidRDefault="000C43D5">
            <w:pPr>
              <w:pStyle w:val="TableParagraph"/>
              <w:spacing w:line="249" w:lineRule="auto"/>
              <w:ind w:left="225"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эквивалентной дозы излучения</w:t>
            </w:r>
          </w:p>
        </w:tc>
        <w:tc>
          <w:tcPr>
            <w:tcW w:w="6379" w:type="dxa"/>
            <w:shd w:val="clear" w:color="auto" w:fill="D8D8D8"/>
          </w:tcPr>
          <w:p w14:paraId="1C74985B" w14:textId="77777777" w:rsidR="00A82687" w:rsidRDefault="000C43D5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0,2 мкЗв/ч (в любой точке на поверхности и </w:t>
            </w:r>
            <w:r>
              <w:rPr>
                <w:sz w:val="20"/>
                <w:u w:val="single"/>
              </w:rPr>
              <w:t>внутри</w:t>
            </w:r>
            <w:r>
              <w:rPr>
                <w:sz w:val="20"/>
              </w:rPr>
              <w:t xml:space="preserve"> корпуса прибора)</w:t>
            </w:r>
          </w:p>
        </w:tc>
      </w:tr>
    </w:tbl>
    <w:p w14:paraId="33D4A5EE" w14:textId="77777777" w:rsidR="00A82687" w:rsidRDefault="00A82687">
      <w:pPr>
        <w:pStyle w:val="a3"/>
        <w:spacing w:before="1"/>
        <w:rPr>
          <w:b/>
          <w:i/>
          <w:sz w:val="25"/>
        </w:rPr>
      </w:pPr>
    </w:p>
    <w:p w14:paraId="7FEE6257" w14:textId="77777777" w:rsidR="00A82687" w:rsidRDefault="000C43D5">
      <w:pPr>
        <w:ind w:left="165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773F9D5C" w14:textId="77777777" w:rsidR="00A82687" w:rsidRDefault="000C43D5">
      <w:pPr>
        <w:pStyle w:val="2"/>
        <w:spacing w:before="54"/>
        <w:ind w:left="165"/>
      </w:pPr>
      <w:r>
        <w:pict w14:anchorId="03185F7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85pt;margin-top:20.2pt;width:496.35pt;height:12.25pt;z-index:-15727104;mso-wrap-distance-left:0;mso-wrap-distance-right:0;mso-position-horizontal-relative:page" fillcolor="#d8d8d8" stroked="f">
            <v:textbox inset="0,0,0,0">
              <w:txbxContent>
                <w:p w14:paraId="648E5362" w14:textId="77777777" w:rsidR="00A82687" w:rsidRDefault="000C43D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Анализатор во взрывозащищенном исполнении Exd, настенный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монтаж</w:t>
                  </w:r>
                </w:p>
              </w:txbxContent>
            </v:textbox>
            <w10:wrap type="topAndBottom" anchorx="page"/>
          </v:shape>
        </w:pict>
      </w:r>
      <w:r>
        <w:t>Стандартная поставка:</w:t>
      </w:r>
    </w:p>
    <w:p w14:paraId="5E84D911" w14:textId="77777777" w:rsidR="00A82687" w:rsidRDefault="000C43D5">
      <w:pPr>
        <w:pStyle w:val="a4"/>
        <w:numPr>
          <w:ilvl w:val="0"/>
          <w:numId w:val="4"/>
        </w:numPr>
        <w:tabs>
          <w:tab w:val="left" w:pos="372"/>
        </w:tabs>
        <w:spacing w:before="0" w:line="231" w:lineRule="exact"/>
        <w:rPr>
          <w:sz w:val="20"/>
        </w:rPr>
      </w:pPr>
      <w:r>
        <w:rPr>
          <w:sz w:val="20"/>
        </w:rPr>
        <w:t>Руководство по эксплуатации на русском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</w:p>
    <w:p w14:paraId="29884AC0" w14:textId="77777777" w:rsidR="00A82687" w:rsidRDefault="000C43D5">
      <w:pPr>
        <w:pStyle w:val="a3"/>
        <w:ind w:left="136"/>
      </w:pPr>
      <w:r>
        <w:pict w14:anchorId="31CD4F46">
          <v:shape id="_x0000_s1029" type="#_x0000_t202" style="width:496.35pt;height:12.2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032C3AAB" w14:textId="77777777" w:rsidR="00A82687" w:rsidRDefault="000C43D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Копии Свидетельства Росстандарта и методики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поверки</w:t>
                  </w:r>
                </w:p>
              </w:txbxContent>
            </v:textbox>
            <w10:anchorlock/>
          </v:shape>
        </w:pict>
      </w:r>
    </w:p>
    <w:p w14:paraId="6CA87EF7" w14:textId="77777777" w:rsidR="00A82687" w:rsidRDefault="000C43D5">
      <w:pPr>
        <w:pStyle w:val="a4"/>
        <w:numPr>
          <w:ilvl w:val="0"/>
          <w:numId w:val="4"/>
        </w:numPr>
        <w:tabs>
          <w:tab w:val="left" w:pos="372"/>
        </w:tabs>
        <w:spacing w:before="0"/>
        <w:rPr>
          <w:sz w:val="20"/>
        </w:rPr>
      </w:pPr>
      <w:r>
        <w:rPr>
          <w:sz w:val="20"/>
        </w:rPr>
        <w:t>Копия Разрешения на</w:t>
      </w:r>
      <w:r>
        <w:rPr>
          <w:spacing w:val="5"/>
          <w:sz w:val="20"/>
        </w:rPr>
        <w:t xml:space="preserve"> </w:t>
      </w:r>
      <w:r>
        <w:rPr>
          <w:sz w:val="20"/>
        </w:rPr>
        <w:t>применение</w:t>
      </w:r>
    </w:p>
    <w:p w14:paraId="171BB40E" w14:textId="77777777" w:rsidR="00A82687" w:rsidRDefault="000C43D5">
      <w:pPr>
        <w:pStyle w:val="2"/>
        <w:spacing w:before="191"/>
        <w:ind w:left="165"/>
      </w:pPr>
      <w:r>
        <w:pict w14:anchorId="2C670480">
          <v:shape id="_x0000_s1028" type="#_x0000_t202" style="position:absolute;left:0;text-align:left;margin-left:57.85pt;margin-top:27.05pt;width:496.35pt;height:12.25pt;z-index:-15726080;mso-wrap-distance-left:0;mso-wrap-distance-right:0;mso-position-horizontal-relative:page" fillcolor="#d8d8d8" stroked="f">
            <v:textbox inset="0,0,0,0">
              <w:txbxContent>
                <w:p w14:paraId="136BEA92" w14:textId="77777777" w:rsidR="00A82687" w:rsidRDefault="000C43D5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Анализатор во взрывозащищенном исполнении Exp (1Expx[ia]IICT4), настенный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монтаж</w:t>
                  </w:r>
                </w:p>
              </w:txbxContent>
            </v:textbox>
            <w10:wrap type="topAndBottom" anchorx="page"/>
          </v:shape>
        </w:pict>
      </w:r>
      <w:r>
        <w:t>По дополнительному заказу:</w:t>
      </w:r>
    </w:p>
    <w:p w14:paraId="1CD74D56" w14:textId="77777777" w:rsidR="00A82687" w:rsidRDefault="000C43D5">
      <w:pPr>
        <w:pStyle w:val="a4"/>
        <w:numPr>
          <w:ilvl w:val="0"/>
          <w:numId w:val="4"/>
        </w:numPr>
        <w:tabs>
          <w:tab w:val="left" w:pos="372"/>
        </w:tabs>
        <w:spacing w:before="0" w:line="231" w:lineRule="exact"/>
        <w:rPr>
          <w:sz w:val="20"/>
        </w:rPr>
      </w:pPr>
      <w:r>
        <w:rPr>
          <w:sz w:val="20"/>
        </w:rPr>
        <w:t>Высокотемпературное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</w:t>
      </w:r>
    </w:p>
    <w:p w14:paraId="0ABEA454" w14:textId="77777777" w:rsidR="00A82687" w:rsidRDefault="000C43D5">
      <w:pPr>
        <w:pStyle w:val="a3"/>
        <w:ind w:left="136"/>
      </w:pPr>
      <w:r>
        <w:pict w14:anchorId="1C9DB479">
          <v:shape id="_x0000_s1027" type="#_x0000_t202" style="width:496.35pt;height:12.2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195900CF" w14:textId="77777777" w:rsidR="00A82687" w:rsidRDefault="000C43D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Комплект автоматических отсечных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клапанов</w:t>
                  </w:r>
                </w:p>
              </w:txbxContent>
            </v:textbox>
            <w10:anchorlock/>
          </v:shape>
        </w:pict>
      </w:r>
    </w:p>
    <w:p w14:paraId="3D79FC47" w14:textId="77777777" w:rsidR="00A82687" w:rsidRDefault="000C43D5">
      <w:pPr>
        <w:pStyle w:val="a3"/>
        <w:rPr>
          <w:sz w:val="23"/>
        </w:rPr>
      </w:pPr>
      <w:r>
        <w:pict w14:anchorId="69213755">
          <v:rect id="_x0000_s1026" style="position:absolute;margin-left:57.85pt;margin-top:15.2pt;width:49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sectPr w:rsidR="00A82687">
      <w:pgSz w:w="11900" w:h="16840"/>
      <w:pgMar w:top="780" w:right="7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3BC9"/>
    <w:multiLevelType w:val="hybridMultilevel"/>
    <w:tmpl w:val="84B20016"/>
    <w:lvl w:ilvl="0" w:tplc="CB5AAF36">
      <w:numFmt w:val="bullet"/>
      <w:lvlText w:val=""/>
      <w:lvlJc w:val="left"/>
      <w:pPr>
        <w:ind w:left="37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63A8B84">
      <w:numFmt w:val="bullet"/>
      <w:lvlText w:val="•"/>
      <w:lvlJc w:val="left"/>
      <w:pPr>
        <w:ind w:left="1360" w:hanging="207"/>
      </w:pPr>
      <w:rPr>
        <w:rFonts w:hint="default"/>
        <w:lang w:val="ru-RU" w:eastAsia="en-US" w:bidi="ar-SA"/>
      </w:rPr>
    </w:lvl>
    <w:lvl w:ilvl="2" w:tplc="DF7C5468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  <w:lvl w:ilvl="3" w:tplc="B1E411FA">
      <w:numFmt w:val="bullet"/>
      <w:lvlText w:val="•"/>
      <w:lvlJc w:val="left"/>
      <w:pPr>
        <w:ind w:left="3320" w:hanging="207"/>
      </w:pPr>
      <w:rPr>
        <w:rFonts w:hint="default"/>
        <w:lang w:val="ru-RU" w:eastAsia="en-US" w:bidi="ar-SA"/>
      </w:rPr>
    </w:lvl>
    <w:lvl w:ilvl="4" w:tplc="1388BF64">
      <w:numFmt w:val="bullet"/>
      <w:lvlText w:val="•"/>
      <w:lvlJc w:val="left"/>
      <w:pPr>
        <w:ind w:left="4300" w:hanging="207"/>
      </w:pPr>
      <w:rPr>
        <w:rFonts w:hint="default"/>
        <w:lang w:val="ru-RU" w:eastAsia="en-US" w:bidi="ar-SA"/>
      </w:rPr>
    </w:lvl>
    <w:lvl w:ilvl="5" w:tplc="01E4C9F6">
      <w:numFmt w:val="bullet"/>
      <w:lvlText w:val="•"/>
      <w:lvlJc w:val="left"/>
      <w:pPr>
        <w:ind w:left="5280" w:hanging="207"/>
      </w:pPr>
      <w:rPr>
        <w:rFonts w:hint="default"/>
        <w:lang w:val="ru-RU" w:eastAsia="en-US" w:bidi="ar-SA"/>
      </w:rPr>
    </w:lvl>
    <w:lvl w:ilvl="6" w:tplc="599C4AE0">
      <w:numFmt w:val="bullet"/>
      <w:lvlText w:val="•"/>
      <w:lvlJc w:val="left"/>
      <w:pPr>
        <w:ind w:left="6260" w:hanging="207"/>
      </w:pPr>
      <w:rPr>
        <w:rFonts w:hint="default"/>
        <w:lang w:val="ru-RU" w:eastAsia="en-US" w:bidi="ar-SA"/>
      </w:rPr>
    </w:lvl>
    <w:lvl w:ilvl="7" w:tplc="C9A422F0">
      <w:numFmt w:val="bullet"/>
      <w:lvlText w:val="•"/>
      <w:lvlJc w:val="left"/>
      <w:pPr>
        <w:ind w:left="7240" w:hanging="207"/>
      </w:pPr>
      <w:rPr>
        <w:rFonts w:hint="default"/>
        <w:lang w:val="ru-RU" w:eastAsia="en-US" w:bidi="ar-SA"/>
      </w:rPr>
    </w:lvl>
    <w:lvl w:ilvl="8" w:tplc="944EF41E">
      <w:numFmt w:val="bullet"/>
      <w:lvlText w:val="•"/>
      <w:lvlJc w:val="left"/>
      <w:pPr>
        <w:ind w:left="8220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4A54403"/>
    <w:multiLevelType w:val="hybridMultilevel"/>
    <w:tmpl w:val="D922AEE2"/>
    <w:lvl w:ilvl="0" w:tplc="C258457E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842068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BEDA337C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A4E678E4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291A1CBA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543863E8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40F6A9A4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767C00EE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E1BA19E2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2B24350D"/>
    <w:multiLevelType w:val="hybridMultilevel"/>
    <w:tmpl w:val="E152BD92"/>
    <w:lvl w:ilvl="0" w:tplc="433A5E72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6E7FCA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F08CB39C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E2B84D0A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ED72C91A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A98846B4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DE12024C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61D0C7C6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8E304356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4C71611E"/>
    <w:multiLevelType w:val="hybridMultilevel"/>
    <w:tmpl w:val="0CB28CDE"/>
    <w:lvl w:ilvl="0" w:tplc="86FAC49C">
      <w:numFmt w:val="bullet"/>
      <w:lvlText w:val="◆"/>
      <w:lvlJc w:val="left"/>
      <w:pPr>
        <w:ind w:left="128" w:hanging="288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376C75BE">
      <w:numFmt w:val="bullet"/>
      <w:lvlText w:val="•"/>
      <w:lvlJc w:val="left"/>
      <w:pPr>
        <w:ind w:left="610" w:hanging="288"/>
      </w:pPr>
      <w:rPr>
        <w:rFonts w:hint="default"/>
        <w:lang w:val="ru-RU" w:eastAsia="en-US" w:bidi="ar-SA"/>
      </w:rPr>
    </w:lvl>
    <w:lvl w:ilvl="2" w:tplc="8D48A5D0">
      <w:numFmt w:val="bullet"/>
      <w:lvlText w:val="•"/>
      <w:lvlJc w:val="left"/>
      <w:pPr>
        <w:ind w:left="1101" w:hanging="288"/>
      </w:pPr>
      <w:rPr>
        <w:rFonts w:hint="default"/>
        <w:lang w:val="ru-RU" w:eastAsia="en-US" w:bidi="ar-SA"/>
      </w:rPr>
    </w:lvl>
    <w:lvl w:ilvl="3" w:tplc="84BC88C4">
      <w:numFmt w:val="bullet"/>
      <w:lvlText w:val="•"/>
      <w:lvlJc w:val="left"/>
      <w:pPr>
        <w:ind w:left="1591" w:hanging="288"/>
      </w:pPr>
      <w:rPr>
        <w:rFonts w:hint="default"/>
        <w:lang w:val="ru-RU" w:eastAsia="en-US" w:bidi="ar-SA"/>
      </w:rPr>
    </w:lvl>
    <w:lvl w:ilvl="4" w:tplc="297A9D22">
      <w:numFmt w:val="bullet"/>
      <w:lvlText w:val="•"/>
      <w:lvlJc w:val="left"/>
      <w:pPr>
        <w:ind w:left="2082" w:hanging="288"/>
      </w:pPr>
      <w:rPr>
        <w:rFonts w:hint="default"/>
        <w:lang w:val="ru-RU" w:eastAsia="en-US" w:bidi="ar-SA"/>
      </w:rPr>
    </w:lvl>
    <w:lvl w:ilvl="5" w:tplc="BA3039EE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6" w:tplc="BEA428B2">
      <w:numFmt w:val="bullet"/>
      <w:lvlText w:val="•"/>
      <w:lvlJc w:val="left"/>
      <w:pPr>
        <w:ind w:left="3063" w:hanging="288"/>
      </w:pPr>
      <w:rPr>
        <w:rFonts w:hint="default"/>
        <w:lang w:val="ru-RU" w:eastAsia="en-US" w:bidi="ar-SA"/>
      </w:rPr>
    </w:lvl>
    <w:lvl w:ilvl="7" w:tplc="97066A78">
      <w:numFmt w:val="bullet"/>
      <w:lvlText w:val="•"/>
      <w:lvlJc w:val="left"/>
      <w:pPr>
        <w:ind w:left="3554" w:hanging="288"/>
      </w:pPr>
      <w:rPr>
        <w:rFonts w:hint="default"/>
        <w:lang w:val="ru-RU" w:eastAsia="en-US" w:bidi="ar-SA"/>
      </w:rPr>
    </w:lvl>
    <w:lvl w:ilvl="8" w:tplc="1436DDCA">
      <w:numFmt w:val="bullet"/>
      <w:lvlText w:val="•"/>
      <w:lvlJc w:val="left"/>
      <w:pPr>
        <w:ind w:left="4044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503E29D8"/>
    <w:multiLevelType w:val="hybridMultilevel"/>
    <w:tmpl w:val="F10C046A"/>
    <w:lvl w:ilvl="0" w:tplc="C8866518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92644A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ED964920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D24671D6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97B8F7A6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2E3ADD4C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4BD462AA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AE4071BA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598600FC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56E14C00"/>
    <w:multiLevelType w:val="hybridMultilevel"/>
    <w:tmpl w:val="D2384250"/>
    <w:lvl w:ilvl="0" w:tplc="79960A16">
      <w:start w:val="2"/>
      <w:numFmt w:val="decimal"/>
      <w:lvlText w:val="%1"/>
      <w:lvlJc w:val="left"/>
      <w:pPr>
        <w:ind w:left="388" w:hanging="168"/>
        <w:jc w:val="left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4D98527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2" w:tplc="15D4E142">
      <w:numFmt w:val="bullet"/>
      <w:lvlText w:val="•"/>
      <w:lvlJc w:val="left"/>
      <w:pPr>
        <w:ind w:left="1577" w:hanging="168"/>
      </w:pPr>
      <w:rPr>
        <w:rFonts w:hint="default"/>
        <w:lang w:val="ru-RU" w:eastAsia="en-US" w:bidi="ar-SA"/>
      </w:rPr>
    </w:lvl>
    <w:lvl w:ilvl="3" w:tplc="4F08374E">
      <w:numFmt w:val="bullet"/>
      <w:lvlText w:val="•"/>
      <w:lvlJc w:val="left"/>
      <w:pPr>
        <w:ind w:left="2176" w:hanging="168"/>
      </w:pPr>
      <w:rPr>
        <w:rFonts w:hint="default"/>
        <w:lang w:val="ru-RU" w:eastAsia="en-US" w:bidi="ar-SA"/>
      </w:rPr>
    </w:lvl>
    <w:lvl w:ilvl="4" w:tplc="3CE6C0D2">
      <w:numFmt w:val="bullet"/>
      <w:lvlText w:val="•"/>
      <w:lvlJc w:val="left"/>
      <w:pPr>
        <w:ind w:left="2775" w:hanging="168"/>
      </w:pPr>
      <w:rPr>
        <w:rFonts w:hint="default"/>
        <w:lang w:val="ru-RU" w:eastAsia="en-US" w:bidi="ar-SA"/>
      </w:rPr>
    </w:lvl>
    <w:lvl w:ilvl="5" w:tplc="DA885692">
      <w:numFmt w:val="bullet"/>
      <w:lvlText w:val="•"/>
      <w:lvlJc w:val="left"/>
      <w:pPr>
        <w:ind w:left="3374" w:hanging="168"/>
      </w:pPr>
      <w:rPr>
        <w:rFonts w:hint="default"/>
        <w:lang w:val="ru-RU" w:eastAsia="en-US" w:bidi="ar-SA"/>
      </w:rPr>
    </w:lvl>
    <w:lvl w:ilvl="6" w:tplc="8234637E">
      <w:numFmt w:val="bullet"/>
      <w:lvlText w:val="•"/>
      <w:lvlJc w:val="left"/>
      <w:pPr>
        <w:ind w:left="3973" w:hanging="168"/>
      </w:pPr>
      <w:rPr>
        <w:rFonts w:hint="default"/>
        <w:lang w:val="ru-RU" w:eastAsia="en-US" w:bidi="ar-SA"/>
      </w:rPr>
    </w:lvl>
    <w:lvl w:ilvl="7" w:tplc="67EC329E">
      <w:numFmt w:val="bullet"/>
      <w:lvlText w:val="•"/>
      <w:lvlJc w:val="left"/>
      <w:pPr>
        <w:ind w:left="4572" w:hanging="168"/>
      </w:pPr>
      <w:rPr>
        <w:rFonts w:hint="default"/>
        <w:lang w:val="ru-RU" w:eastAsia="en-US" w:bidi="ar-SA"/>
      </w:rPr>
    </w:lvl>
    <w:lvl w:ilvl="8" w:tplc="24C6218E">
      <w:numFmt w:val="bullet"/>
      <w:lvlText w:val="•"/>
      <w:lvlJc w:val="left"/>
      <w:pPr>
        <w:ind w:left="517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68CD4CED"/>
    <w:multiLevelType w:val="hybridMultilevel"/>
    <w:tmpl w:val="C8CCC426"/>
    <w:lvl w:ilvl="0" w:tplc="5C465E86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CEBDBA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0DC45C14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FD86AF48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0F720DF4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B1EE9BE8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AFEC718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BDE8EB08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4ACA92A0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687"/>
    <w:rsid w:val="000C43D5"/>
    <w:rsid w:val="00A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75AED9"/>
  <w15:docId w15:val="{5B8392F5-40E3-4C23-BC7A-77F364E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6"/>
      <w:ind w:left="165" w:right="1300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3"/>
      <w:ind w:left="416" w:hanging="289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ASOMA 682T-HP_L_11.doc</dc:title>
  <dc:creator>aab</dc:creator>
  <cp:lastModifiedBy>Анастасия Лисицкая</cp:lastModifiedBy>
  <cp:revision>2</cp:revision>
  <dcterms:created xsi:type="dcterms:W3CDTF">2020-06-05T19:49:00Z</dcterms:created>
  <dcterms:modified xsi:type="dcterms:W3CDTF">2020-06-06T16:17:00Z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Microsoft Word - ASOMA 682T-HP_L_11.doc</vt:lpwstr>
  </property>
  <property fmtid="{D5CDD505-2E9C-101B-9397-08002B2CF9AE}" pid="4" name="LastSaved">
    <vt:filetime>2011-10-27T00:00:00Z</vt:filetime>
  </property>
</Properties>
</file>