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C041" w14:textId="77777777" w:rsidR="00D10EAF" w:rsidRDefault="00D10EAF">
      <w:pPr>
        <w:pStyle w:val="a3"/>
        <w:spacing w:before="10"/>
        <w:ind w:left="0"/>
        <w:rPr>
          <w:rFonts w:ascii="Times New Roman"/>
          <w:sz w:val="7"/>
        </w:rPr>
      </w:pPr>
    </w:p>
    <w:p w14:paraId="301C7187" w14:textId="7419E75F" w:rsidR="00D10EAF" w:rsidRDefault="00D10EAF">
      <w:pPr>
        <w:pStyle w:val="a3"/>
        <w:spacing w:line="20" w:lineRule="exact"/>
        <w:ind w:left="112"/>
        <w:rPr>
          <w:rFonts w:ascii="Times New Roman"/>
          <w:sz w:val="2"/>
        </w:rPr>
      </w:pPr>
    </w:p>
    <w:p w14:paraId="4E3C21CE" w14:textId="77777777" w:rsidR="00D10EAF" w:rsidRDefault="00030A6C">
      <w:pPr>
        <w:pStyle w:val="1"/>
        <w:spacing w:line="450" w:lineRule="exact"/>
      </w:pPr>
      <w:r>
        <w:t xml:space="preserve">Анализаторы влажности </w:t>
      </w:r>
      <w:r>
        <w:t>газов,</w:t>
      </w:r>
    </w:p>
    <w:p w14:paraId="73E9CCE6" w14:textId="77777777" w:rsidR="00D10EAF" w:rsidRDefault="00030A6C">
      <w:pPr>
        <w:ind w:left="142"/>
        <w:rPr>
          <w:b/>
          <w:i/>
          <w:sz w:val="4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854AB0A" wp14:editId="43327F71">
            <wp:simplePos x="0" y="0"/>
            <wp:positionH relativeFrom="page">
              <wp:posOffset>3811523</wp:posOffset>
            </wp:positionH>
            <wp:positionV relativeFrom="paragraph">
              <wp:posOffset>221678</wp:posOffset>
            </wp:positionV>
            <wp:extent cx="3139439" cy="293674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9" cy="2936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модели </w:t>
      </w:r>
      <w:r>
        <w:rPr>
          <w:b/>
          <w:i/>
          <w:sz w:val="44"/>
        </w:rPr>
        <w:t>303В и 304MCA</w:t>
      </w:r>
    </w:p>
    <w:p w14:paraId="6B66976D" w14:textId="77777777" w:rsidR="00D10EAF" w:rsidRDefault="00030A6C">
      <w:pPr>
        <w:pStyle w:val="2"/>
        <w:spacing w:before="102"/>
      </w:pPr>
      <w:r>
        <w:t>Назначение</w:t>
      </w:r>
    </w:p>
    <w:p w14:paraId="59CC24CF" w14:textId="77777777" w:rsidR="00D10EAF" w:rsidRDefault="00030A6C">
      <w:pPr>
        <w:pStyle w:val="a3"/>
        <w:spacing w:before="45"/>
        <w:ind w:right="5475"/>
        <w:jc w:val="both"/>
      </w:pPr>
      <w:r>
        <w:t xml:space="preserve">Портативный анализатор влажности </w:t>
      </w:r>
      <w:r>
        <w:rPr>
          <w:b/>
          <w:spacing w:val="-4"/>
        </w:rPr>
        <w:t xml:space="preserve">303В </w:t>
      </w:r>
      <w:r>
        <w:t>на основе ячейки с Р</w:t>
      </w:r>
      <w:r>
        <w:rPr>
          <w:sz w:val="16"/>
        </w:rPr>
        <w:t>2</w:t>
      </w:r>
      <w:r>
        <w:t>О</w:t>
      </w:r>
      <w:r>
        <w:rPr>
          <w:sz w:val="16"/>
        </w:rPr>
        <w:t xml:space="preserve">5 </w:t>
      </w:r>
      <w:r>
        <w:t xml:space="preserve">предназначен для измерения содержания воды в воздухе, аргоне, азоте, природном газе и </w:t>
      </w:r>
      <w:proofErr w:type="gramStart"/>
      <w:r>
        <w:rPr>
          <w:spacing w:val="-4"/>
        </w:rPr>
        <w:t>т.п.</w:t>
      </w:r>
      <w:proofErr w:type="gramEnd"/>
      <w:r>
        <w:rPr>
          <w:spacing w:val="53"/>
        </w:rPr>
        <w:t xml:space="preserve"> </w:t>
      </w:r>
      <w:r>
        <w:t xml:space="preserve">Модель </w:t>
      </w:r>
      <w:r>
        <w:rPr>
          <w:b/>
        </w:rPr>
        <w:t xml:space="preserve">304MCA </w:t>
      </w:r>
      <w:r>
        <w:t>имеет специальное исполнение для анализа влажности</w:t>
      </w:r>
      <w:r>
        <w:rPr>
          <w:spacing w:val="-10"/>
        </w:rPr>
        <w:t xml:space="preserve"> </w:t>
      </w:r>
      <w:r>
        <w:t>хлора.</w:t>
      </w:r>
    </w:p>
    <w:p w14:paraId="07AD0EEA" w14:textId="77777777" w:rsidR="00D10EAF" w:rsidRDefault="00030A6C">
      <w:pPr>
        <w:pStyle w:val="2"/>
        <w:spacing w:before="49"/>
      </w:pPr>
      <w:r>
        <w:t>Применение</w:t>
      </w:r>
    </w:p>
    <w:p w14:paraId="1521E833" w14:textId="77777777" w:rsidR="00D10EAF" w:rsidRDefault="00030A6C">
      <w:pPr>
        <w:pStyle w:val="a3"/>
        <w:spacing w:before="38"/>
        <w:ind w:right="5504"/>
      </w:pPr>
      <w:r>
        <w:t>Анализаторы применяются для измерения в таких средах,</w:t>
      </w:r>
      <w:r>
        <w:rPr>
          <w:spacing w:val="-3"/>
        </w:rPr>
        <w:t xml:space="preserve"> </w:t>
      </w:r>
      <w:r>
        <w:t>как:</w:t>
      </w:r>
    </w:p>
    <w:p w14:paraId="50D5A10D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line="269" w:lineRule="exact"/>
        <w:ind w:left="449" w:hanging="168"/>
      </w:pPr>
      <w:r>
        <w:t>воздух в системах</w:t>
      </w:r>
      <w:r>
        <w:rPr>
          <w:spacing w:val="-3"/>
        </w:rPr>
        <w:t xml:space="preserve"> </w:t>
      </w:r>
      <w:r>
        <w:t>пневм</w:t>
      </w:r>
      <w:r>
        <w:t>оавтоматики</w:t>
      </w:r>
    </w:p>
    <w:p w14:paraId="2E90563A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line="269" w:lineRule="exact"/>
        <w:ind w:left="449" w:hanging="168"/>
      </w:pPr>
      <w:r>
        <w:t>воздух в осушительных</w:t>
      </w:r>
      <w:r>
        <w:rPr>
          <w:spacing w:val="-3"/>
        </w:rPr>
        <w:t xml:space="preserve"> </w:t>
      </w:r>
      <w:r>
        <w:t>камерах</w:t>
      </w:r>
    </w:p>
    <w:p w14:paraId="7248B520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1" w:line="237" w:lineRule="auto"/>
        <w:ind w:right="5473" w:firstLine="0"/>
        <w:jc w:val="both"/>
      </w:pPr>
      <w:r>
        <w:t>воздух, используемый при проверке чувствительных элементов систем кондиционирования</w:t>
      </w:r>
    </w:p>
    <w:p w14:paraId="6A598675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5" w:line="237" w:lineRule="auto"/>
        <w:ind w:right="5474" w:hanging="1"/>
        <w:jc w:val="both"/>
      </w:pPr>
      <w:r>
        <w:t>инертная защитная атмосфера печей пайки и</w:t>
      </w:r>
      <w:r>
        <w:rPr>
          <w:spacing w:val="-2"/>
        </w:rPr>
        <w:t xml:space="preserve"> </w:t>
      </w:r>
      <w:r>
        <w:t>спекания</w:t>
      </w:r>
    </w:p>
    <w:p w14:paraId="07881DD5" w14:textId="77777777" w:rsidR="00D10EAF" w:rsidRDefault="00D10EAF">
      <w:pPr>
        <w:spacing w:line="237" w:lineRule="auto"/>
        <w:jc w:val="both"/>
        <w:sectPr w:rsidR="00D10EAF">
          <w:type w:val="continuous"/>
          <w:pgSz w:w="11910" w:h="16840"/>
          <w:pgMar w:top="720" w:right="840" w:bottom="280" w:left="760" w:header="720" w:footer="720" w:gutter="0"/>
          <w:cols w:space="720"/>
        </w:sectPr>
      </w:pPr>
    </w:p>
    <w:p w14:paraId="0BED3A5E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2" w:line="269" w:lineRule="exact"/>
        <w:ind w:left="449" w:hanging="168"/>
      </w:pPr>
      <w:r>
        <w:t>атмосфера печей</w:t>
      </w:r>
      <w:r>
        <w:rPr>
          <w:spacing w:val="-1"/>
        </w:rPr>
        <w:t xml:space="preserve"> </w:t>
      </w:r>
      <w:r>
        <w:t>отжига</w:t>
      </w:r>
    </w:p>
    <w:p w14:paraId="26E4CE4A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  <w:tab w:val="left" w:pos="1914"/>
          <w:tab w:val="left" w:pos="2546"/>
          <w:tab w:val="left" w:pos="2990"/>
          <w:tab w:val="left" w:pos="4706"/>
        </w:tabs>
        <w:spacing w:before="2" w:line="237" w:lineRule="auto"/>
        <w:ind w:right="38" w:firstLine="0"/>
      </w:pPr>
      <w:r>
        <w:t>природный</w:t>
      </w:r>
      <w:r>
        <w:tab/>
        <w:t>газ</w:t>
      </w:r>
      <w:r>
        <w:tab/>
        <w:t>в</w:t>
      </w:r>
      <w:r>
        <w:tab/>
        <w:t>газопроводах</w:t>
      </w:r>
      <w:r>
        <w:tab/>
      </w:r>
      <w:r>
        <w:rPr>
          <w:spacing w:val="-18"/>
        </w:rPr>
        <w:t xml:space="preserve">и </w:t>
      </w:r>
      <w:r>
        <w:t>установках</w:t>
      </w:r>
      <w:r>
        <w:rPr>
          <w:spacing w:val="-2"/>
        </w:rPr>
        <w:t xml:space="preserve"> </w:t>
      </w:r>
      <w:r>
        <w:t>газопереработки</w:t>
      </w:r>
    </w:p>
    <w:p w14:paraId="32CAB1D1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1" w:line="269" w:lineRule="exact"/>
        <w:ind w:left="449" w:hanging="168"/>
      </w:pPr>
      <w:r>
        <w:t xml:space="preserve">фторсодержащие </w:t>
      </w:r>
      <w:proofErr w:type="spellStart"/>
      <w:r>
        <w:t>газы</w:t>
      </w:r>
      <w:proofErr w:type="spellEnd"/>
      <w:r>
        <w:rPr>
          <w:spacing w:val="2"/>
        </w:rPr>
        <w:t xml:space="preserve"> </w:t>
      </w:r>
      <w:r>
        <w:t>(фреоны)</w:t>
      </w:r>
    </w:p>
    <w:p w14:paraId="25147CF6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  <w:tab w:val="left" w:pos="1120"/>
          <w:tab w:val="left" w:pos="1704"/>
          <w:tab w:val="left" w:pos="3112"/>
          <w:tab w:val="left" w:pos="4706"/>
        </w:tabs>
        <w:spacing w:before="2" w:line="237" w:lineRule="auto"/>
        <w:ind w:right="38" w:firstLine="0"/>
      </w:pPr>
      <w:proofErr w:type="spellStart"/>
      <w:r>
        <w:t>газы</w:t>
      </w:r>
      <w:proofErr w:type="spellEnd"/>
      <w:r>
        <w:tab/>
        <w:t>для</w:t>
      </w:r>
      <w:r>
        <w:tab/>
        <w:t>заполнения</w:t>
      </w:r>
      <w:r>
        <w:tab/>
        <w:t>транзисторов</w:t>
      </w:r>
      <w:r>
        <w:tab/>
      </w:r>
      <w:r>
        <w:rPr>
          <w:spacing w:val="-18"/>
        </w:rPr>
        <w:t xml:space="preserve">и </w:t>
      </w:r>
      <w:r>
        <w:t>диодов</w:t>
      </w:r>
    </w:p>
    <w:p w14:paraId="1E0AC1A3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  <w:tab w:val="left" w:pos="1332"/>
          <w:tab w:val="left" w:pos="3174"/>
          <w:tab w:val="left" w:pos="3652"/>
        </w:tabs>
        <w:spacing w:before="3" w:line="237" w:lineRule="auto"/>
        <w:ind w:right="38" w:firstLine="0"/>
      </w:pPr>
      <w:proofErr w:type="spellStart"/>
      <w:r>
        <w:t>газы</w:t>
      </w:r>
      <w:proofErr w:type="spellEnd"/>
      <w:r>
        <w:t>,</w:t>
      </w:r>
      <w:r>
        <w:tab/>
        <w:t>используемые</w:t>
      </w:r>
      <w:r>
        <w:tab/>
        <w:t>в</w:t>
      </w:r>
      <w:r>
        <w:tab/>
      </w:r>
      <w:r>
        <w:rPr>
          <w:spacing w:val="-1"/>
        </w:rPr>
        <w:t xml:space="preserve">криогенных </w:t>
      </w:r>
      <w:r>
        <w:t>процессах и</w:t>
      </w:r>
      <w:r>
        <w:rPr>
          <w:spacing w:val="-2"/>
        </w:rPr>
        <w:t xml:space="preserve"> </w:t>
      </w:r>
      <w:proofErr w:type="gramStart"/>
      <w:r>
        <w:t>т.п.</w:t>
      </w:r>
      <w:proofErr w:type="gramEnd"/>
    </w:p>
    <w:p w14:paraId="1DB33CA5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2"/>
        <w:ind w:left="449" w:hanging="168"/>
      </w:pPr>
      <w:r>
        <w:t>хлор (модель</w:t>
      </w:r>
      <w:r>
        <w:rPr>
          <w:spacing w:val="-1"/>
        </w:rPr>
        <w:t xml:space="preserve"> </w:t>
      </w:r>
      <w:r>
        <w:t>304MCA).</w:t>
      </w:r>
    </w:p>
    <w:p w14:paraId="002A42CA" w14:textId="77777777" w:rsidR="00D10EAF" w:rsidRDefault="00030A6C">
      <w:pPr>
        <w:pStyle w:val="2"/>
        <w:spacing w:before="44"/>
      </w:pPr>
      <w:r>
        <w:t>Ограничения в применении</w:t>
      </w:r>
    </w:p>
    <w:p w14:paraId="7050DF60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21"/>
        <w:ind w:right="39" w:firstLine="0"/>
        <w:jc w:val="both"/>
      </w:pPr>
      <w:r>
        <w:rPr>
          <w:i/>
        </w:rPr>
        <w:t xml:space="preserve">Газы, в которых одновременно </w:t>
      </w:r>
      <w:r>
        <w:rPr>
          <w:i/>
        </w:rPr>
        <w:t>присутствуют водород и кислород</w:t>
      </w:r>
      <w:r>
        <w:rPr>
          <w:b/>
          <w:i/>
        </w:rPr>
        <w:t xml:space="preserve">. </w:t>
      </w:r>
      <w:r>
        <w:t xml:space="preserve">Эти </w:t>
      </w:r>
      <w:proofErr w:type="spellStart"/>
      <w:r>
        <w:t>газы</w:t>
      </w:r>
      <w:proofErr w:type="spellEnd"/>
      <w:r>
        <w:t xml:space="preserve"> </w:t>
      </w:r>
      <w:proofErr w:type="spellStart"/>
      <w:r>
        <w:t>рекомбинируют</w:t>
      </w:r>
      <w:proofErr w:type="spellEnd"/>
      <w:r>
        <w:t xml:space="preserve"> на поверхности ячейки, образуя воду, что приводит к искажению результата</w:t>
      </w:r>
      <w:r>
        <w:rPr>
          <w:spacing w:val="-3"/>
        </w:rPr>
        <w:t xml:space="preserve"> </w:t>
      </w:r>
      <w:r>
        <w:t>измерения</w:t>
      </w:r>
    </w:p>
    <w:p w14:paraId="69965538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  <w:tab w:val="left" w:pos="2265"/>
          <w:tab w:val="left" w:pos="3697"/>
        </w:tabs>
        <w:spacing w:before="23" w:line="237" w:lineRule="auto"/>
        <w:ind w:right="39" w:firstLine="0"/>
        <w:jc w:val="both"/>
      </w:pPr>
      <w:r>
        <w:rPr>
          <w:i/>
        </w:rPr>
        <w:t xml:space="preserve">Газы, содержащие ненасыщенные углеводороды (кроме </w:t>
      </w:r>
      <w:proofErr w:type="spellStart"/>
      <w:r>
        <w:rPr>
          <w:i/>
        </w:rPr>
        <w:t>ароматики</w:t>
      </w:r>
      <w:proofErr w:type="spellEnd"/>
      <w:r>
        <w:rPr>
          <w:i/>
        </w:rPr>
        <w:t>)</w:t>
      </w:r>
      <w:r>
        <w:t>. Эти соединения</w:t>
      </w:r>
      <w:r>
        <w:tab/>
        <w:t>имеют</w:t>
      </w:r>
      <w:r>
        <w:tab/>
      </w:r>
      <w:r>
        <w:rPr>
          <w:spacing w:val="-1"/>
        </w:rPr>
        <w:t xml:space="preserve">тенденцию </w:t>
      </w:r>
      <w:proofErr w:type="spellStart"/>
      <w:r>
        <w:t>полимеризоваться</w:t>
      </w:r>
      <w:proofErr w:type="spellEnd"/>
      <w:r>
        <w:t xml:space="preserve"> в измер</w:t>
      </w:r>
      <w:r>
        <w:t>ительной ячейке, уменьшая ее</w:t>
      </w:r>
      <w:r>
        <w:rPr>
          <w:spacing w:val="-2"/>
        </w:rPr>
        <w:t xml:space="preserve"> </w:t>
      </w:r>
      <w:r>
        <w:t>ресурс</w:t>
      </w:r>
    </w:p>
    <w:p w14:paraId="47502A6C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28" w:line="237" w:lineRule="auto"/>
        <w:ind w:right="41" w:firstLine="0"/>
        <w:jc w:val="both"/>
      </w:pPr>
      <w:r>
        <w:rPr>
          <w:i/>
        </w:rPr>
        <w:t>Легкие спирты</w:t>
      </w:r>
      <w:r>
        <w:t>. Анализатор дает завышенные показания из-за расщепления молекул</w:t>
      </w:r>
    </w:p>
    <w:p w14:paraId="69784C58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26" w:line="237" w:lineRule="auto"/>
        <w:ind w:right="40" w:hanging="1"/>
        <w:jc w:val="both"/>
        <w:rPr>
          <w:sz w:val="16"/>
        </w:rPr>
      </w:pPr>
      <w:r>
        <w:rPr>
          <w:i/>
        </w:rPr>
        <w:t>Амины и аммиак</w:t>
      </w:r>
      <w:r>
        <w:t>. Эти вещества вступают в химическую реакцию с</w:t>
      </w:r>
      <w:r>
        <w:rPr>
          <w:spacing w:val="-4"/>
        </w:rPr>
        <w:t xml:space="preserve"> </w:t>
      </w:r>
      <w:r>
        <w:t>Р</w:t>
      </w:r>
      <w:r>
        <w:rPr>
          <w:sz w:val="16"/>
        </w:rPr>
        <w:t>2</w:t>
      </w:r>
      <w:r>
        <w:t>О</w:t>
      </w:r>
      <w:r>
        <w:rPr>
          <w:sz w:val="16"/>
        </w:rPr>
        <w:t>5.</w:t>
      </w:r>
    </w:p>
    <w:p w14:paraId="4715C760" w14:textId="77777777" w:rsidR="00D10EAF" w:rsidRDefault="00030A6C">
      <w:pPr>
        <w:pStyle w:val="a4"/>
        <w:numPr>
          <w:ilvl w:val="0"/>
          <w:numId w:val="2"/>
        </w:numPr>
        <w:tabs>
          <w:tab w:val="left" w:pos="450"/>
        </w:tabs>
        <w:spacing w:before="24" w:line="237" w:lineRule="auto"/>
        <w:ind w:right="40" w:firstLine="0"/>
        <w:jc w:val="both"/>
      </w:pPr>
      <w:r>
        <w:rPr>
          <w:i/>
        </w:rPr>
        <w:t xml:space="preserve">Фтор и HF, хлор и </w:t>
      </w:r>
      <w:proofErr w:type="spellStart"/>
      <w:r>
        <w:rPr>
          <w:i/>
        </w:rPr>
        <w:t>HCl</w:t>
      </w:r>
      <w:proofErr w:type="spellEnd"/>
      <w:r>
        <w:t>. Эти вещества реагируют с материалами конструкции ана</w:t>
      </w:r>
      <w:r>
        <w:t>лизатора.</w:t>
      </w:r>
    </w:p>
    <w:p w14:paraId="298E8DEF" w14:textId="77777777" w:rsidR="00D10EAF" w:rsidRDefault="00030A6C">
      <w:pPr>
        <w:pStyle w:val="a3"/>
        <w:spacing w:before="40"/>
        <w:ind w:right="39"/>
        <w:jc w:val="both"/>
      </w:pPr>
      <w:r>
        <w:rPr>
          <w:i/>
        </w:rPr>
        <w:t>Примечание</w:t>
      </w:r>
      <w:proofErr w:type="gramStart"/>
      <w:r>
        <w:rPr>
          <w:i/>
        </w:rPr>
        <w:t xml:space="preserve">: </w:t>
      </w:r>
      <w:r>
        <w:t>Для</w:t>
      </w:r>
      <w:proofErr w:type="gramEnd"/>
      <w:r>
        <w:t xml:space="preserve"> анализа влажности некоторых из этих веществ </w:t>
      </w:r>
      <w:proofErr w:type="spellStart"/>
      <w:r>
        <w:t>Artvik</w:t>
      </w:r>
      <w:proofErr w:type="spellEnd"/>
      <w:r>
        <w:t xml:space="preserve"> может предложить другие модели анализаторов.</w:t>
      </w:r>
    </w:p>
    <w:p w14:paraId="5CE7DE6B" w14:textId="77777777" w:rsidR="00D10EAF" w:rsidRDefault="00030A6C">
      <w:pPr>
        <w:pStyle w:val="2"/>
        <w:spacing w:line="271" w:lineRule="exact"/>
      </w:pPr>
      <w:r>
        <w:rPr>
          <w:b w:val="0"/>
          <w:i w:val="0"/>
        </w:rPr>
        <w:br w:type="column"/>
      </w:r>
      <w:r>
        <w:t>Описание</w:t>
      </w:r>
    </w:p>
    <w:p w14:paraId="464C8B7B" w14:textId="77777777" w:rsidR="00D10EAF" w:rsidRDefault="00030A6C">
      <w:pPr>
        <w:pStyle w:val="a3"/>
        <w:spacing w:before="90"/>
        <w:ind w:right="316"/>
        <w:jc w:val="both"/>
      </w:pPr>
      <w:r>
        <w:t xml:space="preserve">Принцип измерения влаги </w:t>
      </w:r>
      <w:proofErr w:type="spellStart"/>
      <w:r>
        <w:t>анализаторамим</w:t>
      </w:r>
      <w:proofErr w:type="spellEnd"/>
      <w:r>
        <w:t xml:space="preserve"> </w:t>
      </w:r>
      <w:r>
        <w:rPr>
          <w:b/>
        </w:rPr>
        <w:t>303В</w:t>
      </w:r>
      <w:r>
        <w:t xml:space="preserve">, </w:t>
      </w:r>
      <w:r>
        <w:rPr>
          <w:b/>
        </w:rPr>
        <w:t xml:space="preserve">304MCA </w:t>
      </w:r>
      <w:r>
        <w:t>основан на законе Фарадея. Вода, содержащаяся в газе, адсорбируется в эл</w:t>
      </w:r>
      <w:r>
        <w:t>ектролитической ячейке на основе Р</w:t>
      </w:r>
      <w:r>
        <w:rPr>
          <w:sz w:val="16"/>
        </w:rPr>
        <w:t>2</w:t>
      </w:r>
      <w:r>
        <w:t>О</w:t>
      </w:r>
      <w:r>
        <w:rPr>
          <w:sz w:val="16"/>
        </w:rPr>
        <w:t xml:space="preserve">5. </w:t>
      </w:r>
      <w:r>
        <w:t xml:space="preserve">Измерение тока электролиза в ячейке позволяет определять концентрацию воды в газах в линейном диапазоне от единиц </w:t>
      </w:r>
      <w:proofErr w:type="spellStart"/>
      <w:r>
        <w:t>ррм</w:t>
      </w:r>
      <w:proofErr w:type="spellEnd"/>
      <w:r>
        <w:t xml:space="preserve"> до 2000</w:t>
      </w:r>
      <w:r>
        <w:rPr>
          <w:spacing w:val="-1"/>
        </w:rPr>
        <w:t xml:space="preserve"> </w:t>
      </w:r>
      <w:proofErr w:type="spellStart"/>
      <w:r>
        <w:t>ррм</w:t>
      </w:r>
      <w:proofErr w:type="spellEnd"/>
      <w:r>
        <w:t>.</w:t>
      </w:r>
    </w:p>
    <w:p w14:paraId="018FDB02" w14:textId="77777777" w:rsidR="00D10EAF" w:rsidRDefault="00030A6C">
      <w:pPr>
        <w:pStyle w:val="a3"/>
        <w:spacing w:before="92"/>
        <w:ind w:right="315"/>
        <w:jc w:val="both"/>
      </w:pPr>
      <w:r>
        <w:t>Анализаторы имеют цифровой дисплей, надежную прецизионную электронику, легко заменяему</w:t>
      </w:r>
      <w:r>
        <w:t xml:space="preserve">ю ячейку, высокоточную систему регулирования расхода газов через измерительную ячейку и </w:t>
      </w:r>
      <w:proofErr w:type="spellStart"/>
      <w:r>
        <w:t>байпасный</w:t>
      </w:r>
      <w:proofErr w:type="spellEnd"/>
      <w:r>
        <w:t xml:space="preserve"> контур.</w:t>
      </w:r>
    </w:p>
    <w:p w14:paraId="06D18FBB" w14:textId="77777777" w:rsidR="00D10EAF" w:rsidRDefault="00030A6C">
      <w:pPr>
        <w:pStyle w:val="a3"/>
        <w:spacing w:before="88"/>
        <w:ind w:right="316"/>
        <w:jc w:val="both"/>
      </w:pPr>
      <w:r>
        <w:t xml:space="preserve">Встроенный </w:t>
      </w:r>
      <w:proofErr w:type="spellStart"/>
      <w:r>
        <w:t>байпасный</w:t>
      </w:r>
      <w:proofErr w:type="spellEnd"/>
      <w:r>
        <w:t xml:space="preserve"> контур с расходомером позволяет увеличить расход отбираемой пробы </w:t>
      </w:r>
      <w:proofErr w:type="gramStart"/>
      <w:r>
        <w:t>для  уменьшения</w:t>
      </w:r>
      <w:proofErr w:type="gramEnd"/>
      <w:r>
        <w:t xml:space="preserve"> времени запаздывания. При анализе газа из баллонов это обеспечивает возможность быстрой продувки редукторов, клапанов и трубок для удаления атмосферной в</w:t>
      </w:r>
      <w:r>
        <w:t>лаги.</w:t>
      </w:r>
    </w:p>
    <w:p w14:paraId="3083AEA9" w14:textId="77777777" w:rsidR="00D10EAF" w:rsidRDefault="00030A6C">
      <w:pPr>
        <w:pStyle w:val="a3"/>
        <w:spacing w:before="92"/>
        <w:ind w:right="316" w:hanging="1"/>
        <w:jc w:val="both"/>
      </w:pPr>
      <w:r>
        <w:t xml:space="preserve">Анализатор </w:t>
      </w:r>
      <w:r>
        <w:rPr>
          <w:b/>
        </w:rPr>
        <w:t xml:space="preserve">303B </w:t>
      </w:r>
      <w:r>
        <w:t xml:space="preserve">компактен, имеет малый вес и габариты и может быть использован в качестве как портативного, так и стационарного, в том числе – во взрывоопасных зонах категории </w:t>
      </w:r>
      <w:proofErr w:type="spellStart"/>
      <w:r>
        <w:t>Division</w:t>
      </w:r>
      <w:proofErr w:type="spellEnd"/>
      <w:r>
        <w:t xml:space="preserve"> 2 по NEC (В-1</w:t>
      </w:r>
      <w:r>
        <w:rPr>
          <w:sz w:val="18"/>
        </w:rPr>
        <w:t>б</w:t>
      </w:r>
      <w:r>
        <w:t>, В-1г по ПУЭ).</w:t>
      </w:r>
    </w:p>
    <w:p w14:paraId="46D05170" w14:textId="77777777" w:rsidR="00D10EAF" w:rsidRDefault="00030A6C">
      <w:pPr>
        <w:pStyle w:val="a3"/>
        <w:spacing w:before="94"/>
        <w:ind w:right="316" w:hanging="1"/>
        <w:jc w:val="both"/>
      </w:pPr>
      <w:r>
        <w:t xml:space="preserve">Анализатор </w:t>
      </w:r>
      <w:r>
        <w:rPr>
          <w:b/>
        </w:rPr>
        <w:t xml:space="preserve">304MCA </w:t>
      </w:r>
      <w:r>
        <w:t>смонтирован в дву</w:t>
      </w:r>
      <w:r>
        <w:t>х корпусах (электронный блок отделен от газовой схемы).</w:t>
      </w:r>
    </w:p>
    <w:p w14:paraId="40D1152F" w14:textId="77777777" w:rsidR="00D10EAF" w:rsidRDefault="00D10EAF">
      <w:pPr>
        <w:jc w:val="both"/>
        <w:sectPr w:rsidR="00D10EAF">
          <w:type w:val="continuous"/>
          <w:pgSz w:w="11910" w:h="16840"/>
          <w:pgMar w:top="720" w:right="840" w:bottom="280" w:left="760" w:header="720" w:footer="720" w:gutter="0"/>
          <w:cols w:num="2" w:space="720" w:equalWidth="0">
            <w:col w:w="4869" w:space="179"/>
            <w:col w:w="5262"/>
          </w:cols>
        </w:sectPr>
      </w:pPr>
    </w:p>
    <w:p w14:paraId="302685FD" w14:textId="77777777" w:rsidR="00D10EAF" w:rsidRDefault="00D10EAF">
      <w:pPr>
        <w:pStyle w:val="a3"/>
        <w:spacing w:before="7"/>
        <w:ind w:left="0"/>
        <w:rPr>
          <w:sz w:val="17"/>
        </w:rPr>
      </w:pPr>
    </w:p>
    <w:p w14:paraId="50EF138D" w14:textId="77777777" w:rsidR="00D10EAF" w:rsidRDefault="00030A6C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A41F0B6">
          <v:group id="_x0000_s1039" style="width:502.35pt;height:.75pt;mso-position-horizontal-relative:char;mso-position-vertical-relative:line" coordsize="10047,15">
            <v:rect id="_x0000_s1040" style="position:absolute;width:10047;height:15" fillcolor="black" stroked="f"/>
            <w10:anchorlock/>
          </v:group>
        </w:pict>
      </w:r>
    </w:p>
    <w:p w14:paraId="7ECDDD7D" w14:textId="77777777" w:rsidR="00D10EAF" w:rsidRDefault="00030A6C">
      <w:pPr>
        <w:pStyle w:val="a3"/>
        <w:spacing w:before="2"/>
        <w:ind w:left="0"/>
        <w:rPr>
          <w:sz w:val="15"/>
        </w:rPr>
      </w:pPr>
      <w:r>
        <w:pict w14:anchorId="3EBC40D3">
          <v:group id="_x0000_s1033" style="position:absolute;margin-left:237.7pt;margin-top:10.7pt;width:129.4pt;height:19.75pt;z-index:-15726080;mso-wrap-distance-left:0;mso-wrap-distance-right:0;mso-position-horizontal-relative:page" coordorigin="4754,214" coordsize="2588,3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754;top:214;width:450;height:392">
              <v:imagedata r:id="rId6" o:title=""/>
            </v:shape>
            <v:shape id="_x0000_s1037" style="position:absolute;left:5208;top:248;width:525;height:357" coordorigin="5208,249" coordsize="525,357" path="m5729,249r-177,l5471,422,5388,249r-180,l5208,605r125,l5338,441r78,164l5525,605r79,-161l5604,605r128,l5729,249xe" fillcolor="black" stroked="f">
              <v:path arrowok="t"/>
            </v:shape>
            <v:shape id="_x0000_s1036" type="#_x0000_t75" style="position:absolute;left:5794;top:248;width:744;height:360">
              <v:imagedata r:id="rId7" o:title=""/>
            </v:shape>
            <v:shape id="_x0000_s1035" style="position:absolute;left:6574;top:252;width:333;height:356" coordorigin="6575,252" coordsize="333,356" path="m6907,252r-332,l6575,348r,30l6575,468r,44l6575,608r332,l6907,512r-199,l6708,468r196,l6904,378r-196,l6708,348r199,l6907,252xe" fillcolor="black" stroked="f">
              <v:path arrowok="t"/>
            </v:shape>
            <v:shape id="_x0000_s1034" type="#_x0000_t75" style="position:absolute;left:6958;top:248;width:383;height:357">
              <v:imagedata r:id="rId8" o:title=""/>
            </v:shape>
            <w10:wrap type="topAndBottom" anchorx="page"/>
          </v:group>
        </w:pict>
      </w:r>
    </w:p>
    <w:p w14:paraId="3AB6F960" w14:textId="77777777" w:rsidR="00D10EAF" w:rsidRDefault="00D10EAF">
      <w:pPr>
        <w:pStyle w:val="a3"/>
        <w:spacing w:before="4"/>
        <w:ind w:left="0"/>
        <w:rPr>
          <w:sz w:val="6"/>
        </w:rPr>
      </w:pPr>
    </w:p>
    <w:p w14:paraId="1889A02F" w14:textId="77777777" w:rsidR="00D10EAF" w:rsidRDefault="00030A6C">
      <w:pPr>
        <w:pStyle w:val="a3"/>
        <w:spacing w:line="90" w:lineRule="exact"/>
        <w:ind w:left="4005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570FACCD" wp14:editId="0F651FA0">
            <wp:extent cx="1633727" cy="5715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E969" w14:textId="77777777" w:rsidR="00D10EAF" w:rsidRDefault="00D10EAF">
      <w:pPr>
        <w:spacing w:line="90" w:lineRule="exact"/>
        <w:rPr>
          <w:sz w:val="9"/>
        </w:rPr>
        <w:sectPr w:rsidR="00D10EAF">
          <w:type w:val="continuous"/>
          <w:pgSz w:w="11910" w:h="16840"/>
          <w:pgMar w:top="720" w:right="840" w:bottom="280" w:left="760" w:header="720" w:footer="720" w:gutter="0"/>
          <w:cols w:space="720"/>
        </w:sectPr>
      </w:pPr>
    </w:p>
    <w:p w14:paraId="20516625" w14:textId="77777777" w:rsidR="00D10EAF" w:rsidRDefault="00030A6C">
      <w:pPr>
        <w:pStyle w:val="1"/>
        <w:spacing w:before="71"/>
        <w:rPr>
          <w:sz w:val="44"/>
        </w:rPr>
      </w:pPr>
      <w:r>
        <w:lastRenderedPageBreak/>
        <w:t xml:space="preserve">Анализатор влажности газов, модель </w:t>
      </w:r>
      <w:r>
        <w:rPr>
          <w:sz w:val="44"/>
        </w:rPr>
        <w:t>303В</w:t>
      </w:r>
    </w:p>
    <w:p w14:paraId="6DC85CCD" w14:textId="77777777" w:rsidR="00D10EAF" w:rsidRDefault="00030A6C">
      <w:pPr>
        <w:pStyle w:val="2"/>
        <w:spacing w:before="189"/>
        <w:ind w:left="142"/>
      </w:pPr>
      <w:r>
        <w:t>Технические характеристики</w:t>
      </w: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7326"/>
      </w:tblGrid>
      <w:tr w:rsidR="00D10EAF" w14:paraId="0649C723" w14:textId="77777777">
        <w:trPr>
          <w:trHeight w:val="756"/>
        </w:trPr>
        <w:tc>
          <w:tcPr>
            <w:tcW w:w="2568" w:type="dxa"/>
            <w:shd w:val="clear" w:color="auto" w:fill="E4E4E4"/>
          </w:tcPr>
          <w:p w14:paraId="3A9D09A0" w14:textId="77777777" w:rsidR="00D10EAF" w:rsidRDefault="00030A6C">
            <w:pPr>
              <w:pStyle w:val="TableParagraph"/>
              <w:spacing w:before="5" w:line="240" w:lineRule="auto"/>
              <w:rPr>
                <w:b/>
              </w:rPr>
            </w:pPr>
            <w:r>
              <w:rPr>
                <w:b/>
              </w:rPr>
              <w:t>Диапазоны</w:t>
            </w:r>
          </w:p>
        </w:tc>
        <w:tc>
          <w:tcPr>
            <w:tcW w:w="7326" w:type="dxa"/>
            <w:shd w:val="clear" w:color="auto" w:fill="E4E4E4"/>
          </w:tcPr>
          <w:p w14:paraId="3587215B" w14:textId="77777777" w:rsidR="00D10EAF" w:rsidRDefault="00030A6C">
            <w:pPr>
              <w:pStyle w:val="TableParagraph"/>
              <w:spacing w:line="251" w:lineRule="exact"/>
            </w:pPr>
            <w:r>
              <w:t xml:space="preserve">0...1000 </w:t>
            </w:r>
            <w:proofErr w:type="spellStart"/>
            <w:r>
              <w:t>ррм</w:t>
            </w:r>
            <w:proofErr w:type="spellEnd"/>
          </w:p>
          <w:p w14:paraId="1C177EEC" w14:textId="77777777" w:rsidR="00D10EAF" w:rsidRDefault="00030A6C">
            <w:pPr>
              <w:pStyle w:val="TableParagraph"/>
              <w:spacing w:line="252" w:lineRule="exact"/>
            </w:pPr>
            <w:r>
              <w:t>при сниженном расходе пробы возможно измерение в диапазоне</w:t>
            </w:r>
          </w:p>
          <w:p w14:paraId="4C6CD590" w14:textId="77777777" w:rsidR="00D10EAF" w:rsidRDefault="00030A6C">
            <w:pPr>
              <w:pStyle w:val="TableParagraph"/>
              <w:spacing w:line="234" w:lineRule="exact"/>
            </w:pPr>
            <w:r>
              <w:t xml:space="preserve">0...2000 </w:t>
            </w:r>
            <w:proofErr w:type="spellStart"/>
            <w:r>
              <w:t>ррм</w:t>
            </w:r>
            <w:proofErr w:type="spellEnd"/>
          </w:p>
        </w:tc>
      </w:tr>
      <w:tr w:rsidR="00D10EAF" w14:paraId="4FB439AA" w14:textId="77777777">
        <w:trPr>
          <w:trHeight w:val="258"/>
        </w:trPr>
        <w:tc>
          <w:tcPr>
            <w:tcW w:w="2568" w:type="dxa"/>
          </w:tcPr>
          <w:p w14:paraId="57694AAD" w14:textId="77777777" w:rsidR="00D10EAF" w:rsidRDefault="00030A6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7326" w:type="dxa"/>
          </w:tcPr>
          <w:p w14:paraId="7D62BB31" w14:textId="77777777" w:rsidR="00D10EAF" w:rsidRDefault="00030A6C">
            <w:pPr>
              <w:pStyle w:val="TableParagraph"/>
              <w:spacing w:line="239" w:lineRule="exact"/>
            </w:pPr>
            <w:r>
              <w:rPr>
                <w:rFonts w:ascii="Symbol" w:hAnsi="Symbol"/>
                <w:sz w:val="18"/>
              </w:rPr>
              <w:t></w:t>
            </w:r>
            <w:r>
              <w:t xml:space="preserve">5ppm или </w:t>
            </w:r>
            <w:r>
              <w:rPr>
                <w:rFonts w:ascii="Symbol" w:hAnsi="Symbol"/>
                <w:sz w:val="18"/>
              </w:rPr>
              <w:t></w:t>
            </w:r>
            <w:r>
              <w:t>5% от показаний, что больше</w:t>
            </w:r>
          </w:p>
        </w:tc>
      </w:tr>
      <w:tr w:rsidR="00D10EAF" w14:paraId="71350C6A" w14:textId="77777777">
        <w:trPr>
          <w:trHeight w:val="258"/>
        </w:trPr>
        <w:tc>
          <w:tcPr>
            <w:tcW w:w="2568" w:type="dxa"/>
            <w:shd w:val="clear" w:color="auto" w:fill="E4E4E4"/>
          </w:tcPr>
          <w:p w14:paraId="50151A21" w14:textId="77777777" w:rsidR="00D10EAF" w:rsidRDefault="00030A6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Чувствительность</w:t>
            </w:r>
          </w:p>
        </w:tc>
        <w:tc>
          <w:tcPr>
            <w:tcW w:w="7326" w:type="dxa"/>
            <w:shd w:val="clear" w:color="auto" w:fill="E4E4E4"/>
          </w:tcPr>
          <w:p w14:paraId="549848FE" w14:textId="77777777" w:rsidR="00D10EAF" w:rsidRDefault="00030A6C">
            <w:pPr>
              <w:pStyle w:val="TableParagraph"/>
              <w:spacing w:line="239" w:lineRule="exact"/>
            </w:pPr>
            <w:r>
              <w:t xml:space="preserve">0,1 </w:t>
            </w:r>
            <w:proofErr w:type="spellStart"/>
            <w:r>
              <w:t>ррм</w:t>
            </w:r>
            <w:proofErr w:type="spellEnd"/>
          </w:p>
        </w:tc>
      </w:tr>
      <w:tr w:rsidR="00D10EAF" w14:paraId="55DEA71C" w14:textId="77777777">
        <w:trPr>
          <w:trHeight w:val="504"/>
        </w:trPr>
        <w:tc>
          <w:tcPr>
            <w:tcW w:w="2568" w:type="dxa"/>
          </w:tcPr>
          <w:p w14:paraId="1B2A3E0A" w14:textId="77777777" w:rsidR="00D10EAF" w:rsidRDefault="00030A6C">
            <w:pPr>
              <w:pStyle w:val="TableParagraph"/>
              <w:spacing w:before="5" w:line="240" w:lineRule="auto"/>
              <w:rPr>
                <w:b/>
              </w:rPr>
            </w:pPr>
            <w:r>
              <w:rPr>
                <w:b/>
              </w:rPr>
              <w:t>Время отклика</w:t>
            </w:r>
          </w:p>
        </w:tc>
        <w:tc>
          <w:tcPr>
            <w:tcW w:w="7326" w:type="dxa"/>
          </w:tcPr>
          <w:p w14:paraId="3E9ABF1A" w14:textId="77777777" w:rsidR="00D10EAF" w:rsidRDefault="00030A6C">
            <w:pPr>
              <w:pStyle w:val="TableParagraph"/>
              <w:spacing w:line="251" w:lineRule="exact"/>
            </w:pPr>
            <w:r>
              <w:t>менее 30 с при изменении параметра на 63%</w:t>
            </w:r>
          </w:p>
          <w:p w14:paraId="51A22E7F" w14:textId="77777777" w:rsidR="00D10EAF" w:rsidRDefault="00030A6C">
            <w:pPr>
              <w:pStyle w:val="TableParagraph"/>
              <w:spacing w:line="234" w:lineRule="exact"/>
            </w:pPr>
            <w:r>
              <w:rPr>
                <w:smallCaps/>
                <w:w w:val="99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диапазон</w:t>
            </w:r>
            <w:r>
              <w:rPr>
                <w:w w:val="99"/>
              </w:rPr>
              <w:t>е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50...100</w:t>
            </w:r>
            <w:r>
              <w:t xml:space="preserve"> </w:t>
            </w:r>
            <w:proofErr w:type="spellStart"/>
            <w:r>
              <w:rPr>
                <w:w w:val="99"/>
              </w:rPr>
              <w:t>ррм</w:t>
            </w:r>
            <w:proofErr w:type="spellEnd"/>
          </w:p>
        </w:tc>
      </w:tr>
      <w:tr w:rsidR="00D10EAF" w14:paraId="7F86CC70" w14:textId="77777777">
        <w:trPr>
          <w:trHeight w:val="269"/>
        </w:trPr>
        <w:tc>
          <w:tcPr>
            <w:tcW w:w="2568" w:type="dxa"/>
            <w:shd w:val="clear" w:color="auto" w:fill="E4E4E4"/>
          </w:tcPr>
          <w:p w14:paraId="59BDC95E" w14:textId="77777777" w:rsidR="00D10EAF" w:rsidRDefault="00030A6C">
            <w:pPr>
              <w:pStyle w:val="TableParagraph"/>
              <w:spacing w:before="5" w:line="244" w:lineRule="exact"/>
              <w:rPr>
                <w:b/>
              </w:rPr>
            </w:pPr>
            <w:r>
              <w:rPr>
                <w:b/>
              </w:rPr>
              <w:t>Температура пробы</w:t>
            </w:r>
          </w:p>
        </w:tc>
        <w:tc>
          <w:tcPr>
            <w:tcW w:w="7326" w:type="dxa"/>
            <w:shd w:val="clear" w:color="auto" w:fill="E4E4E4"/>
          </w:tcPr>
          <w:p w14:paraId="60E30013" w14:textId="77777777" w:rsidR="00D10EAF" w:rsidRDefault="00030A6C">
            <w:pPr>
              <w:pStyle w:val="TableParagraph"/>
              <w:spacing w:line="249" w:lineRule="exact"/>
            </w:pPr>
            <w:r>
              <w:t>до 52</w:t>
            </w:r>
            <w:proofErr w:type="gramStart"/>
            <w:r>
              <w:rPr>
                <w:rFonts w:ascii="Symbol" w:hAnsi="Symbol"/>
              </w:rPr>
              <w:t></w:t>
            </w:r>
            <w:r>
              <w:t>С</w:t>
            </w:r>
            <w:proofErr w:type="gramEnd"/>
          </w:p>
        </w:tc>
      </w:tr>
      <w:tr w:rsidR="00D10EAF" w14:paraId="354F7ECE" w14:textId="77777777">
        <w:trPr>
          <w:trHeight w:val="258"/>
        </w:trPr>
        <w:tc>
          <w:tcPr>
            <w:tcW w:w="2568" w:type="dxa"/>
          </w:tcPr>
          <w:p w14:paraId="715DE855" w14:textId="77777777" w:rsidR="00D10EAF" w:rsidRDefault="00030A6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Давление пробы</w:t>
            </w:r>
          </w:p>
        </w:tc>
        <w:tc>
          <w:tcPr>
            <w:tcW w:w="7326" w:type="dxa"/>
          </w:tcPr>
          <w:p w14:paraId="3AA70AA0" w14:textId="77777777" w:rsidR="00D10EAF" w:rsidRDefault="00030A6C">
            <w:pPr>
              <w:pStyle w:val="TableParagraph"/>
              <w:spacing w:line="239" w:lineRule="exact"/>
            </w:pPr>
            <w:r>
              <w:t>70...700 кПа</w:t>
            </w:r>
          </w:p>
        </w:tc>
      </w:tr>
      <w:tr w:rsidR="00D10EAF" w14:paraId="48A5795A" w14:textId="77777777">
        <w:trPr>
          <w:trHeight w:val="504"/>
        </w:trPr>
        <w:tc>
          <w:tcPr>
            <w:tcW w:w="2568" w:type="dxa"/>
            <w:shd w:val="clear" w:color="auto" w:fill="E4E4E4"/>
          </w:tcPr>
          <w:p w14:paraId="45C08724" w14:textId="77777777" w:rsidR="00D10EAF" w:rsidRDefault="00030A6C">
            <w:pPr>
              <w:pStyle w:val="TableParagraph"/>
              <w:spacing w:before="5" w:line="240" w:lineRule="auto"/>
              <w:rPr>
                <w:b/>
              </w:rPr>
            </w:pPr>
            <w:r>
              <w:rPr>
                <w:b/>
              </w:rPr>
              <w:t>Расход пробы</w:t>
            </w:r>
          </w:p>
        </w:tc>
        <w:tc>
          <w:tcPr>
            <w:tcW w:w="7326" w:type="dxa"/>
            <w:shd w:val="clear" w:color="auto" w:fill="E4E4E4"/>
          </w:tcPr>
          <w:p w14:paraId="060D55E9" w14:textId="77777777" w:rsidR="00D10EAF" w:rsidRDefault="00030A6C">
            <w:pPr>
              <w:pStyle w:val="TableParagraph"/>
              <w:spacing w:before="3" w:line="252" w:lineRule="exact"/>
              <w:ind w:right="4201"/>
            </w:pPr>
            <w:r>
              <w:t>через ячейку 50...100 мл/мин через байпас до 500 мл/мин</w:t>
            </w:r>
          </w:p>
        </w:tc>
      </w:tr>
      <w:tr w:rsidR="00D10EAF" w14:paraId="4951CF98" w14:textId="77777777">
        <w:trPr>
          <w:trHeight w:val="514"/>
        </w:trPr>
        <w:tc>
          <w:tcPr>
            <w:tcW w:w="2568" w:type="dxa"/>
          </w:tcPr>
          <w:p w14:paraId="0F2D43E5" w14:textId="77777777" w:rsidR="00D10EAF" w:rsidRDefault="00030A6C">
            <w:pPr>
              <w:pStyle w:val="TableParagraph"/>
              <w:spacing w:before="3" w:line="258" w:lineRule="exact"/>
              <w:ind w:right="156"/>
              <w:rPr>
                <w:b/>
              </w:rPr>
            </w:pPr>
            <w:r>
              <w:rPr>
                <w:b/>
              </w:rPr>
              <w:t>Измерительная ячейка</w:t>
            </w:r>
          </w:p>
        </w:tc>
        <w:tc>
          <w:tcPr>
            <w:tcW w:w="7326" w:type="dxa"/>
          </w:tcPr>
          <w:p w14:paraId="569265A2" w14:textId="77777777" w:rsidR="00D10EAF" w:rsidRDefault="00030A6C">
            <w:pPr>
              <w:pStyle w:val="TableParagraph"/>
              <w:spacing w:line="249" w:lineRule="exact"/>
            </w:pPr>
            <w:r>
              <w:t>электролитическая ячейка модульной конструкции на основе Р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</w:tr>
      <w:tr w:rsidR="00D10EAF" w14:paraId="7522D660" w14:textId="77777777">
        <w:trPr>
          <w:trHeight w:val="253"/>
        </w:trPr>
        <w:tc>
          <w:tcPr>
            <w:tcW w:w="2568" w:type="dxa"/>
            <w:shd w:val="clear" w:color="auto" w:fill="E4E4E4"/>
          </w:tcPr>
          <w:p w14:paraId="6295C898" w14:textId="77777777" w:rsidR="00D10EAF" w:rsidRDefault="00030A6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Аналоговый выход</w:t>
            </w:r>
          </w:p>
        </w:tc>
        <w:tc>
          <w:tcPr>
            <w:tcW w:w="7326" w:type="dxa"/>
            <w:shd w:val="clear" w:color="auto" w:fill="E4E4E4"/>
          </w:tcPr>
          <w:p w14:paraId="273D48E9" w14:textId="77777777" w:rsidR="00D10EAF" w:rsidRDefault="00030A6C">
            <w:pPr>
              <w:pStyle w:val="TableParagraph"/>
              <w:spacing w:line="234" w:lineRule="exact"/>
            </w:pPr>
            <w:r>
              <w:t>4...20 мА, сопротивление нагрузки до 650 Ом</w:t>
            </w:r>
          </w:p>
        </w:tc>
      </w:tr>
      <w:tr w:rsidR="00D10EAF" w14:paraId="55E32E13" w14:textId="77777777">
        <w:trPr>
          <w:trHeight w:val="258"/>
        </w:trPr>
        <w:tc>
          <w:tcPr>
            <w:tcW w:w="2568" w:type="dxa"/>
          </w:tcPr>
          <w:p w14:paraId="548728DE" w14:textId="77777777" w:rsidR="00D10EAF" w:rsidRDefault="00030A6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Релейный выход</w:t>
            </w:r>
          </w:p>
        </w:tc>
        <w:tc>
          <w:tcPr>
            <w:tcW w:w="7326" w:type="dxa"/>
          </w:tcPr>
          <w:p w14:paraId="6037C090" w14:textId="77777777" w:rsidR="00D10EAF" w:rsidRDefault="00030A6C">
            <w:pPr>
              <w:pStyle w:val="TableParagraph"/>
              <w:spacing w:line="239" w:lineRule="exact"/>
            </w:pPr>
            <w:r>
              <w:t>1 А/28 В; 0,5 А/120 В; 0,1 А/240 В; программируемый</w:t>
            </w:r>
          </w:p>
        </w:tc>
      </w:tr>
      <w:tr w:rsidR="00D10EAF" w14:paraId="5A844A28" w14:textId="77777777">
        <w:trPr>
          <w:trHeight w:val="516"/>
        </w:trPr>
        <w:tc>
          <w:tcPr>
            <w:tcW w:w="2568" w:type="dxa"/>
            <w:shd w:val="clear" w:color="auto" w:fill="E4E4E4"/>
          </w:tcPr>
          <w:p w14:paraId="076B7FF9" w14:textId="77777777" w:rsidR="00D10EAF" w:rsidRDefault="00030A6C">
            <w:pPr>
              <w:pStyle w:val="TableParagraph"/>
              <w:spacing w:before="5" w:line="250" w:lineRule="atLeast"/>
              <w:ind w:right="156"/>
              <w:rPr>
                <w:b/>
              </w:rPr>
            </w:pPr>
            <w:r>
              <w:rPr>
                <w:b/>
              </w:rPr>
              <w:t>Рабочая температура</w:t>
            </w:r>
          </w:p>
        </w:tc>
        <w:tc>
          <w:tcPr>
            <w:tcW w:w="7326" w:type="dxa"/>
            <w:shd w:val="clear" w:color="auto" w:fill="E4E4E4"/>
          </w:tcPr>
          <w:p w14:paraId="42192A9B" w14:textId="77777777" w:rsidR="00D10EAF" w:rsidRDefault="00030A6C">
            <w:pPr>
              <w:pStyle w:val="TableParagraph"/>
              <w:spacing w:line="240" w:lineRule="auto"/>
            </w:pPr>
            <w:r>
              <w:t>0...50</w:t>
            </w:r>
            <w:proofErr w:type="gramStart"/>
            <w:r>
              <w:rPr>
                <w:rFonts w:ascii="Symbol" w:hAnsi="Symbol"/>
              </w:rPr>
              <w:t></w:t>
            </w:r>
            <w:r>
              <w:t>С</w:t>
            </w:r>
            <w:proofErr w:type="gramEnd"/>
          </w:p>
        </w:tc>
      </w:tr>
      <w:tr w:rsidR="00D10EAF" w14:paraId="37B079E7" w14:textId="77777777">
        <w:trPr>
          <w:trHeight w:val="516"/>
        </w:trPr>
        <w:tc>
          <w:tcPr>
            <w:tcW w:w="2568" w:type="dxa"/>
          </w:tcPr>
          <w:p w14:paraId="201DD62C" w14:textId="77777777" w:rsidR="00D10EAF" w:rsidRDefault="00030A6C">
            <w:pPr>
              <w:pStyle w:val="TableParagraph"/>
              <w:spacing w:line="260" w:lineRule="atLeast"/>
              <w:ind w:right="156"/>
              <w:rPr>
                <w:b/>
              </w:rPr>
            </w:pPr>
            <w:r>
              <w:rPr>
                <w:b/>
              </w:rPr>
              <w:t>Класс взрывозащиты</w:t>
            </w:r>
          </w:p>
        </w:tc>
        <w:tc>
          <w:tcPr>
            <w:tcW w:w="7326" w:type="dxa"/>
          </w:tcPr>
          <w:p w14:paraId="33AE1034" w14:textId="77777777" w:rsidR="00D10EAF" w:rsidRDefault="00030A6C">
            <w:pPr>
              <w:pStyle w:val="TableParagraph"/>
              <w:spacing w:line="252" w:lineRule="exact"/>
            </w:pPr>
            <w:proofErr w:type="spellStart"/>
            <w:r>
              <w:t>Division</w:t>
            </w:r>
            <w:proofErr w:type="spellEnd"/>
            <w:r>
              <w:t xml:space="preserve"> 2 (NEC)</w:t>
            </w:r>
          </w:p>
        </w:tc>
      </w:tr>
      <w:tr w:rsidR="00D10EAF" w14:paraId="2584393F" w14:textId="77777777">
        <w:trPr>
          <w:trHeight w:val="255"/>
        </w:trPr>
        <w:tc>
          <w:tcPr>
            <w:tcW w:w="2568" w:type="dxa"/>
            <w:shd w:val="clear" w:color="auto" w:fill="E4E4E4"/>
          </w:tcPr>
          <w:p w14:paraId="084152B0" w14:textId="77777777" w:rsidR="00D10EAF" w:rsidRDefault="00030A6C">
            <w:pPr>
              <w:pStyle w:val="TableParagraph"/>
              <w:spacing w:before="2"/>
              <w:rPr>
                <w:b/>
              </w:rPr>
            </w:pPr>
            <w:proofErr w:type="spellStart"/>
            <w:r>
              <w:rPr>
                <w:b/>
              </w:rPr>
              <w:t>Погодозащита</w:t>
            </w:r>
            <w:proofErr w:type="spellEnd"/>
          </w:p>
        </w:tc>
        <w:tc>
          <w:tcPr>
            <w:tcW w:w="7326" w:type="dxa"/>
            <w:shd w:val="clear" w:color="auto" w:fill="E4E4E4"/>
          </w:tcPr>
          <w:p w14:paraId="4D0DCD27" w14:textId="77777777" w:rsidR="00D10EAF" w:rsidRDefault="00030A6C">
            <w:pPr>
              <w:pStyle w:val="TableParagraph"/>
              <w:spacing w:line="235" w:lineRule="exact"/>
            </w:pPr>
            <w:r>
              <w:t>NEMA 3R (IP14) защита от дождя и брызг</w:t>
            </w:r>
          </w:p>
        </w:tc>
      </w:tr>
      <w:tr w:rsidR="00D10EAF" w14:paraId="50A5292A" w14:textId="77777777">
        <w:trPr>
          <w:trHeight w:val="258"/>
        </w:trPr>
        <w:tc>
          <w:tcPr>
            <w:tcW w:w="2568" w:type="dxa"/>
          </w:tcPr>
          <w:p w14:paraId="5C94E4D3" w14:textId="77777777" w:rsidR="00D10EAF" w:rsidRDefault="00030A6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Питание</w:t>
            </w:r>
          </w:p>
        </w:tc>
        <w:tc>
          <w:tcPr>
            <w:tcW w:w="7326" w:type="dxa"/>
          </w:tcPr>
          <w:p w14:paraId="571B62AB" w14:textId="77777777" w:rsidR="00D10EAF" w:rsidRDefault="00030A6C">
            <w:pPr>
              <w:pStyle w:val="TableParagraph"/>
              <w:spacing w:line="239" w:lineRule="exact"/>
            </w:pPr>
            <w:r>
              <w:t>220...240 В, 50 Гц; =12 В, встроенный или внешний аккумулятор</w:t>
            </w:r>
          </w:p>
        </w:tc>
      </w:tr>
      <w:tr w:rsidR="00D10EAF" w14:paraId="021D78CB" w14:textId="77777777">
        <w:trPr>
          <w:trHeight w:val="258"/>
        </w:trPr>
        <w:tc>
          <w:tcPr>
            <w:tcW w:w="2568" w:type="dxa"/>
            <w:shd w:val="clear" w:color="auto" w:fill="E4E4E4"/>
          </w:tcPr>
          <w:p w14:paraId="6B291170" w14:textId="77777777" w:rsidR="00D10EAF" w:rsidRDefault="00030A6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Габариты (Ш х Г х В)</w:t>
            </w:r>
          </w:p>
        </w:tc>
        <w:tc>
          <w:tcPr>
            <w:tcW w:w="7326" w:type="dxa"/>
            <w:shd w:val="clear" w:color="auto" w:fill="E4E4E4"/>
          </w:tcPr>
          <w:p w14:paraId="218EE615" w14:textId="77777777" w:rsidR="00D10EAF" w:rsidRDefault="00030A6C">
            <w:pPr>
              <w:pStyle w:val="TableParagraph"/>
              <w:spacing w:line="239" w:lineRule="exact"/>
            </w:pPr>
            <w:r>
              <w:t>305 х 223 х 114 мм, настольный вариант</w:t>
            </w:r>
          </w:p>
        </w:tc>
      </w:tr>
      <w:tr w:rsidR="00D10EAF" w14:paraId="22E85DFC" w14:textId="77777777">
        <w:trPr>
          <w:trHeight w:val="258"/>
        </w:trPr>
        <w:tc>
          <w:tcPr>
            <w:tcW w:w="2568" w:type="dxa"/>
          </w:tcPr>
          <w:p w14:paraId="3FAFA9F6" w14:textId="77777777" w:rsidR="00D10EAF" w:rsidRDefault="00030A6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Масса, нетто</w:t>
            </w:r>
          </w:p>
        </w:tc>
        <w:tc>
          <w:tcPr>
            <w:tcW w:w="7326" w:type="dxa"/>
          </w:tcPr>
          <w:p w14:paraId="51180E45" w14:textId="77777777" w:rsidR="00D10EAF" w:rsidRDefault="00030A6C">
            <w:pPr>
              <w:pStyle w:val="TableParagraph"/>
              <w:spacing w:line="239" w:lineRule="exact"/>
            </w:pPr>
            <w:r>
              <w:t>6,4 кг</w:t>
            </w:r>
          </w:p>
        </w:tc>
      </w:tr>
    </w:tbl>
    <w:p w14:paraId="476A5C1F" w14:textId="77777777" w:rsidR="00D10EAF" w:rsidRDefault="00030A6C">
      <w:pPr>
        <w:spacing w:before="195"/>
        <w:ind w:left="142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565CE75A" w14:textId="77777777" w:rsidR="00D10EAF" w:rsidRDefault="00030A6C">
      <w:pPr>
        <w:pStyle w:val="3"/>
      </w:pPr>
      <w:r>
        <w:t>Стандартная поставка:</w:t>
      </w:r>
    </w:p>
    <w:p w14:paraId="45245C95" w14:textId="77777777" w:rsidR="00D10EAF" w:rsidRDefault="00030A6C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46F7666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02.35pt;height:12.6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303A3CC5" w14:textId="77777777" w:rsidR="00D10EAF" w:rsidRDefault="00030A6C">
                  <w:pPr>
                    <w:pStyle w:val="a3"/>
                    <w:spacing w:line="251" w:lineRule="exact"/>
                    <w:ind w:left="91"/>
                  </w:pPr>
                  <w:r>
                    <w:t>* Анализатор AMETEK модель 303В, включая встроенный аккумулятор (=12 В)</w:t>
                  </w:r>
                </w:p>
              </w:txbxContent>
            </v:textbox>
            <w10:anchorlock/>
          </v:shape>
        </w:pict>
      </w:r>
    </w:p>
    <w:p w14:paraId="1F00A7C2" w14:textId="77777777" w:rsidR="00D10EAF" w:rsidRDefault="00030A6C">
      <w:pPr>
        <w:pStyle w:val="a4"/>
        <w:numPr>
          <w:ilvl w:val="0"/>
          <w:numId w:val="1"/>
        </w:numPr>
        <w:tabs>
          <w:tab w:val="left" w:pos="351"/>
        </w:tabs>
        <w:spacing w:line="233" w:lineRule="exact"/>
        <w:ind w:hanging="148"/>
      </w:pPr>
      <w:r>
        <w:t>Инструкция по эксплуатации на русском</w:t>
      </w:r>
      <w:r>
        <w:rPr>
          <w:spacing w:val="-1"/>
        </w:rPr>
        <w:t xml:space="preserve"> </w:t>
      </w:r>
      <w:r>
        <w:t>языке</w:t>
      </w:r>
    </w:p>
    <w:p w14:paraId="773078F7" w14:textId="77777777" w:rsidR="00D10EAF" w:rsidRDefault="00030A6C">
      <w:pPr>
        <w:pStyle w:val="3"/>
        <w:spacing w:before="142" w:line="252" w:lineRule="exact"/>
      </w:pPr>
      <w:r>
        <w:t>По дополнительному заказу:</w:t>
      </w:r>
    </w:p>
    <w:p w14:paraId="199DA47A" w14:textId="77777777" w:rsidR="00D10EAF" w:rsidRDefault="00030A6C">
      <w:pPr>
        <w:pStyle w:val="a4"/>
        <w:numPr>
          <w:ilvl w:val="0"/>
          <w:numId w:val="1"/>
        </w:numPr>
        <w:tabs>
          <w:tab w:val="left" w:pos="351"/>
        </w:tabs>
        <w:spacing w:line="251" w:lineRule="exact"/>
        <w:ind w:hanging="148"/>
      </w:pPr>
      <w:r>
        <w:t>Измерительная ячейка в сборе</w:t>
      </w:r>
    </w:p>
    <w:p w14:paraId="4FBBA2D4" w14:textId="77777777" w:rsidR="00D10EAF" w:rsidRDefault="00030A6C">
      <w:pPr>
        <w:pStyle w:val="a4"/>
        <w:numPr>
          <w:ilvl w:val="0"/>
          <w:numId w:val="1"/>
        </w:numPr>
        <w:tabs>
          <w:tab w:val="left" w:pos="351"/>
        </w:tabs>
        <w:spacing w:line="252" w:lineRule="exact"/>
        <w:ind w:hanging="148"/>
      </w:pPr>
      <w:r>
        <w:t>Понижающий редуктор (при давлении пробы от 0,7 до 20</w:t>
      </w:r>
      <w:r>
        <w:rPr>
          <w:spacing w:val="-2"/>
        </w:rPr>
        <w:t xml:space="preserve"> </w:t>
      </w:r>
      <w:r>
        <w:t>МПа)</w:t>
      </w:r>
    </w:p>
    <w:p w14:paraId="6C6275EE" w14:textId="77777777" w:rsidR="00D10EAF" w:rsidRDefault="00030A6C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47B98440">
          <v:shape id="_x0000_s1031" type="#_x0000_t202" style="width:502.35pt;height:12.6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630A8D2D" w14:textId="77777777" w:rsidR="00D10EAF" w:rsidRDefault="00030A6C">
                  <w:pPr>
                    <w:pStyle w:val="a3"/>
                    <w:spacing w:line="251" w:lineRule="exact"/>
                    <w:ind w:left="91"/>
                  </w:pPr>
                  <w:r>
                    <w:t>* Понижающий редуктор с электроподогревом, 230 В, CENELEC</w:t>
                  </w:r>
                </w:p>
              </w:txbxContent>
            </v:textbox>
            <w10:anchorlock/>
          </v:shape>
        </w:pict>
      </w:r>
    </w:p>
    <w:p w14:paraId="18532047" w14:textId="77777777" w:rsidR="00D10EAF" w:rsidRDefault="00030A6C">
      <w:pPr>
        <w:pStyle w:val="a4"/>
        <w:numPr>
          <w:ilvl w:val="0"/>
          <w:numId w:val="1"/>
        </w:numPr>
        <w:tabs>
          <w:tab w:val="left" w:pos="351"/>
        </w:tabs>
        <w:spacing w:line="233" w:lineRule="exact"/>
        <w:ind w:hanging="148"/>
      </w:pPr>
      <w:proofErr w:type="spellStart"/>
      <w:r>
        <w:t>Сильфонный</w:t>
      </w:r>
      <w:proofErr w:type="spellEnd"/>
      <w:r>
        <w:t xml:space="preserve"> электронасос (при давлении пробы ниже 70 кПа), 220 В, 50 Гц, нерж.</w:t>
      </w:r>
      <w:r>
        <w:rPr>
          <w:spacing w:val="-13"/>
        </w:rPr>
        <w:t xml:space="preserve"> </w:t>
      </w:r>
      <w:r>
        <w:t>сталь</w:t>
      </w:r>
    </w:p>
    <w:p w14:paraId="4809FE29" w14:textId="77777777" w:rsidR="00D10EAF" w:rsidRDefault="00030A6C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079BD1BE">
          <v:shape id="_x0000_s1030" type="#_x0000_t202" style="width:502.35pt;height:12.6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1D710A17" w14:textId="77777777" w:rsidR="00D10EAF" w:rsidRDefault="00030A6C">
                  <w:pPr>
                    <w:pStyle w:val="a3"/>
                    <w:spacing w:line="251" w:lineRule="exact"/>
                    <w:ind w:left="91"/>
                  </w:pPr>
                  <w:r>
                    <w:t>* Масляный фильтр/сепаратор</w:t>
                  </w:r>
                </w:p>
              </w:txbxContent>
            </v:textbox>
            <w10:anchorlock/>
          </v:shape>
        </w:pict>
      </w:r>
    </w:p>
    <w:p w14:paraId="426857D7" w14:textId="77777777" w:rsidR="00D10EAF" w:rsidRDefault="00030A6C">
      <w:pPr>
        <w:pStyle w:val="a4"/>
        <w:numPr>
          <w:ilvl w:val="0"/>
          <w:numId w:val="1"/>
        </w:numPr>
        <w:tabs>
          <w:tab w:val="left" w:pos="350"/>
        </w:tabs>
        <w:spacing w:line="233" w:lineRule="exact"/>
      </w:pPr>
      <w:r>
        <w:t>Трубка 1/8", нерж. сталь, длина 3 м</w:t>
      </w:r>
    </w:p>
    <w:p w14:paraId="37FEB0FE" w14:textId="77777777" w:rsidR="00D10EAF" w:rsidRDefault="00030A6C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064FA00A">
          <v:shape id="_x0000_s1029" type="#_x0000_t202" style="width:502.35pt;height:12.6pt;mso-left-percent:-10001;mso-top-percent:-10001;mso-position-horizontal:absolute;mso-position-horizontal-relative:char;mso-position-vertical:absolute;mso-position-vertical-relative:line;mso-left-percent:-10001;mso-top-percent:-10001" fillcolor="#e4e4e4" stroked="f">
            <v:textbox inset="0,0,0,0">
              <w:txbxContent>
                <w:p w14:paraId="6000ED26" w14:textId="77777777" w:rsidR="00D10EAF" w:rsidRDefault="00030A6C">
                  <w:pPr>
                    <w:pStyle w:val="a3"/>
                    <w:spacing w:line="251" w:lineRule="exact"/>
                    <w:ind w:left="91"/>
                  </w:pPr>
                  <w:r>
                    <w:t>* Стеклянный пузырьковый расходомер</w:t>
                  </w:r>
                </w:p>
              </w:txbxContent>
            </v:textbox>
            <w10:anchorlock/>
          </v:shape>
        </w:pict>
      </w:r>
    </w:p>
    <w:p w14:paraId="40D8CA9A" w14:textId="77777777" w:rsidR="00D10EAF" w:rsidRDefault="00030A6C">
      <w:pPr>
        <w:pStyle w:val="a4"/>
        <w:numPr>
          <w:ilvl w:val="0"/>
          <w:numId w:val="1"/>
        </w:numPr>
        <w:tabs>
          <w:tab w:val="left" w:pos="351"/>
        </w:tabs>
        <w:spacing w:line="233" w:lineRule="exact"/>
        <w:ind w:hanging="148"/>
        <w:jc w:val="both"/>
      </w:pPr>
      <w:r>
        <w:t>Кейс</w:t>
      </w:r>
    </w:p>
    <w:p w14:paraId="57E156FA" w14:textId="77777777" w:rsidR="00D10EAF" w:rsidRDefault="00030A6C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88729D0">
          <v:group id="_x0000_s1027" style="width:502.35pt;height:.75pt;mso-position-horizontal-relative:char;mso-position-vertical-relative:line" coordsize="10047,15">
            <v:rect id="_x0000_s1028" style="position:absolute;width:10047;height:15" fillcolor="black" stroked="f"/>
            <w10:anchorlock/>
          </v:group>
        </w:pict>
      </w:r>
    </w:p>
    <w:p w14:paraId="7AD29746" w14:textId="77777777" w:rsidR="00D10EAF" w:rsidRDefault="00030A6C">
      <w:pPr>
        <w:pStyle w:val="a3"/>
        <w:spacing w:before="111"/>
        <w:ind w:left="142" w:right="173"/>
        <w:jc w:val="both"/>
      </w:pPr>
      <w:r>
        <w:pict w14:anchorId="645BC8FB">
          <v:rect id="_x0000_s1026" style="position:absolute;left:0;text-align:left;margin-left:43.6pt;margin-top:125pt;width:502.3pt;height:.7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П</w:t>
      </w:r>
      <w:r>
        <w:rPr>
          <w:b/>
        </w:rPr>
        <w:t>римечание</w:t>
      </w:r>
      <w:proofErr w:type="gramStart"/>
      <w:r>
        <w:rPr>
          <w:b/>
        </w:rPr>
        <w:t xml:space="preserve">: </w:t>
      </w:r>
      <w:r>
        <w:t>Если</w:t>
      </w:r>
      <w:proofErr w:type="gramEnd"/>
      <w:r>
        <w:t xml:space="preserve"> применение анализатора </w:t>
      </w:r>
      <w:r>
        <w:rPr>
          <w:b/>
        </w:rPr>
        <w:t xml:space="preserve">303В </w:t>
      </w:r>
      <w:r>
        <w:t xml:space="preserve">ограничено, то для измерения влажности углеводородных и водородосодержащих газов можно использовать модели </w:t>
      </w:r>
      <w:r>
        <w:rPr>
          <w:b/>
        </w:rPr>
        <w:t xml:space="preserve">5000 </w:t>
      </w:r>
      <w:r>
        <w:t xml:space="preserve">или </w:t>
      </w:r>
      <w:r>
        <w:rPr>
          <w:b/>
        </w:rPr>
        <w:t>5800</w:t>
      </w:r>
      <w:r>
        <w:t xml:space="preserve">. Эти анализаторы определяют влажность газов, измеряя </w:t>
      </w:r>
      <w:r>
        <w:t xml:space="preserve">частоту колебания кварцевого кристалла, покрытого поглощающей влагу полимерной пленкой. Через измерительную ячейку периодически продувается влажный и осушенный анализируемый газ. Такая схема повышает стабильность и точность, так как позволяет периодически </w:t>
      </w:r>
      <w:r>
        <w:t>восстанавливать ячейку до исходного состояния и иметь опорное значение влажности. Уникальный встроенный генератор влажности позволяет быстро и просто проверить калибровку анализатора. Результаты этой проверки подтверждают работоспособность анализатора и до</w:t>
      </w:r>
      <w:r>
        <w:t>стоверность его</w:t>
      </w:r>
      <w:r>
        <w:rPr>
          <w:spacing w:val="-5"/>
        </w:rPr>
        <w:t xml:space="preserve"> </w:t>
      </w:r>
      <w:r>
        <w:t>показаний.</w:t>
      </w:r>
    </w:p>
    <w:sectPr w:rsidR="00D10EAF">
      <w:pgSz w:w="11910" w:h="16840"/>
      <w:pgMar w:top="78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94D"/>
    <w:multiLevelType w:val="hybridMultilevel"/>
    <w:tmpl w:val="3170FABE"/>
    <w:lvl w:ilvl="0" w:tplc="CCDA6ACE">
      <w:numFmt w:val="bullet"/>
      <w:lvlText w:val="*"/>
      <w:lvlJc w:val="left"/>
      <w:pPr>
        <w:ind w:left="350" w:hanging="147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B9988364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2" w:tplc="34BED024">
      <w:numFmt w:val="bullet"/>
      <w:lvlText w:val="•"/>
      <w:lvlJc w:val="left"/>
      <w:pPr>
        <w:ind w:left="2348" w:hanging="147"/>
      </w:pPr>
      <w:rPr>
        <w:rFonts w:hint="default"/>
        <w:lang w:val="ru-RU" w:eastAsia="en-US" w:bidi="ar-SA"/>
      </w:rPr>
    </w:lvl>
    <w:lvl w:ilvl="3" w:tplc="6BE496E6">
      <w:numFmt w:val="bullet"/>
      <w:lvlText w:val="•"/>
      <w:lvlJc w:val="left"/>
      <w:pPr>
        <w:ind w:left="3343" w:hanging="147"/>
      </w:pPr>
      <w:rPr>
        <w:rFonts w:hint="default"/>
        <w:lang w:val="ru-RU" w:eastAsia="en-US" w:bidi="ar-SA"/>
      </w:rPr>
    </w:lvl>
    <w:lvl w:ilvl="4" w:tplc="6DCCB538">
      <w:numFmt w:val="bullet"/>
      <w:lvlText w:val="•"/>
      <w:lvlJc w:val="left"/>
      <w:pPr>
        <w:ind w:left="4337" w:hanging="147"/>
      </w:pPr>
      <w:rPr>
        <w:rFonts w:hint="default"/>
        <w:lang w:val="ru-RU" w:eastAsia="en-US" w:bidi="ar-SA"/>
      </w:rPr>
    </w:lvl>
    <w:lvl w:ilvl="5" w:tplc="9A7AC24A">
      <w:numFmt w:val="bullet"/>
      <w:lvlText w:val="•"/>
      <w:lvlJc w:val="left"/>
      <w:pPr>
        <w:ind w:left="5332" w:hanging="147"/>
      </w:pPr>
      <w:rPr>
        <w:rFonts w:hint="default"/>
        <w:lang w:val="ru-RU" w:eastAsia="en-US" w:bidi="ar-SA"/>
      </w:rPr>
    </w:lvl>
    <w:lvl w:ilvl="6" w:tplc="3F1EBAF0">
      <w:numFmt w:val="bullet"/>
      <w:lvlText w:val="•"/>
      <w:lvlJc w:val="left"/>
      <w:pPr>
        <w:ind w:left="6326" w:hanging="147"/>
      </w:pPr>
      <w:rPr>
        <w:rFonts w:hint="default"/>
        <w:lang w:val="ru-RU" w:eastAsia="en-US" w:bidi="ar-SA"/>
      </w:rPr>
    </w:lvl>
    <w:lvl w:ilvl="7" w:tplc="1186805C">
      <w:numFmt w:val="bullet"/>
      <w:lvlText w:val="•"/>
      <w:lvlJc w:val="left"/>
      <w:pPr>
        <w:ind w:left="7321" w:hanging="147"/>
      </w:pPr>
      <w:rPr>
        <w:rFonts w:hint="default"/>
        <w:lang w:val="ru-RU" w:eastAsia="en-US" w:bidi="ar-SA"/>
      </w:rPr>
    </w:lvl>
    <w:lvl w:ilvl="8" w:tplc="DCF8A1F2">
      <w:numFmt w:val="bullet"/>
      <w:lvlText w:val="•"/>
      <w:lvlJc w:val="left"/>
      <w:pPr>
        <w:ind w:left="8315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32506D2E"/>
    <w:multiLevelType w:val="hybridMultilevel"/>
    <w:tmpl w:val="7B3C5488"/>
    <w:lvl w:ilvl="0" w:tplc="6B609B98">
      <w:numFmt w:val="bullet"/>
      <w:lvlText w:val=""/>
      <w:lvlJc w:val="left"/>
      <w:pPr>
        <w:ind w:left="282" w:hanging="167"/>
      </w:pPr>
      <w:rPr>
        <w:rFonts w:ascii="Symbol" w:eastAsia="Symbol" w:hAnsi="Symbol" w:cs="Symbol" w:hint="default"/>
        <w:spacing w:val="1"/>
        <w:w w:val="99"/>
        <w:sz w:val="20"/>
        <w:szCs w:val="20"/>
        <w:lang w:val="ru-RU" w:eastAsia="en-US" w:bidi="ar-SA"/>
      </w:rPr>
    </w:lvl>
    <w:lvl w:ilvl="1" w:tplc="8C7C0F3C">
      <w:numFmt w:val="bullet"/>
      <w:lvlText w:val="•"/>
      <w:lvlJc w:val="left"/>
      <w:pPr>
        <w:ind w:left="1282" w:hanging="167"/>
      </w:pPr>
      <w:rPr>
        <w:rFonts w:hint="default"/>
        <w:lang w:val="ru-RU" w:eastAsia="en-US" w:bidi="ar-SA"/>
      </w:rPr>
    </w:lvl>
    <w:lvl w:ilvl="2" w:tplc="BDAAC56A">
      <w:numFmt w:val="bullet"/>
      <w:lvlText w:val="•"/>
      <w:lvlJc w:val="left"/>
      <w:pPr>
        <w:ind w:left="2284" w:hanging="167"/>
      </w:pPr>
      <w:rPr>
        <w:rFonts w:hint="default"/>
        <w:lang w:val="ru-RU" w:eastAsia="en-US" w:bidi="ar-SA"/>
      </w:rPr>
    </w:lvl>
    <w:lvl w:ilvl="3" w:tplc="F5F8E2DA">
      <w:numFmt w:val="bullet"/>
      <w:lvlText w:val="•"/>
      <w:lvlJc w:val="left"/>
      <w:pPr>
        <w:ind w:left="3287" w:hanging="167"/>
      </w:pPr>
      <w:rPr>
        <w:rFonts w:hint="default"/>
        <w:lang w:val="ru-RU" w:eastAsia="en-US" w:bidi="ar-SA"/>
      </w:rPr>
    </w:lvl>
    <w:lvl w:ilvl="4" w:tplc="43A20356">
      <w:numFmt w:val="bullet"/>
      <w:lvlText w:val="•"/>
      <w:lvlJc w:val="left"/>
      <w:pPr>
        <w:ind w:left="4289" w:hanging="167"/>
      </w:pPr>
      <w:rPr>
        <w:rFonts w:hint="default"/>
        <w:lang w:val="ru-RU" w:eastAsia="en-US" w:bidi="ar-SA"/>
      </w:rPr>
    </w:lvl>
    <w:lvl w:ilvl="5" w:tplc="47DC52F2">
      <w:numFmt w:val="bullet"/>
      <w:lvlText w:val="•"/>
      <w:lvlJc w:val="left"/>
      <w:pPr>
        <w:ind w:left="5292" w:hanging="167"/>
      </w:pPr>
      <w:rPr>
        <w:rFonts w:hint="default"/>
        <w:lang w:val="ru-RU" w:eastAsia="en-US" w:bidi="ar-SA"/>
      </w:rPr>
    </w:lvl>
    <w:lvl w:ilvl="6" w:tplc="A1887F5C">
      <w:numFmt w:val="bullet"/>
      <w:lvlText w:val="•"/>
      <w:lvlJc w:val="left"/>
      <w:pPr>
        <w:ind w:left="6294" w:hanging="167"/>
      </w:pPr>
      <w:rPr>
        <w:rFonts w:hint="default"/>
        <w:lang w:val="ru-RU" w:eastAsia="en-US" w:bidi="ar-SA"/>
      </w:rPr>
    </w:lvl>
    <w:lvl w:ilvl="7" w:tplc="85E2A3B4">
      <w:numFmt w:val="bullet"/>
      <w:lvlText w:val="•"/>
      <w:lvlJc w:val="left"/>
      <w:pPr>
        <w:ind w:left="7297" w:hanging="167"/>
      </w:pPr>
      <w:rPr>
        <w:rFonts w:hint="default"/>
        <w:lang w:val="ru-RU" w:eastAsia="en-US" w:bidi="ar-SA"/>
      </w:rPr>
    </w:lvl>
    <w:lvl w:ilvl="8" w:tplc="B314B376">
      <w:numFmt w:val="bullet"/>
      <w:lvlText w:val="•"/>
      <w:lvlJc w:val="left"/>
      <w:pPr>
        <w:ind w:left="8299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EAF"/>
    <w:rsid w:val="00030A6C"/>
    <w:rsid w:val="00D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01DBDBC"/>
  <w15:docId w15:val="{2ED78AD7-2C1B-4792-97F2-C5FCC85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42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82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96"/>
      <w:ind w:left="142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/>
    </w:pPr>
  </w:style>
  <w:style w:type="paragraph" w:styleId="a4">
    <w:name w:val="List Paragraph"/>
    <w:basedOn w:val="a"/>
    <w:uiPriority w:val="1"/>
    <w:qFormat/>
    <w:pPr>
      <w:ind w:left="282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Анализаторы влажности газов, модели 303В и 304MCA</dc:title>
  <dc:creator>Artvik</dc:creator>
  <cp:lastModifiedBy>Анастасия Лисицкая</cp:lastModifiedBy>
  <cp:revision>2</cp:revision>
  <dcterms:created xsi:type="dcterms:W3CDTF">2020-06-05T19:58:00Z</dcterms:created>
  <dcterms:modified xsi:type="dcterms:W3CDTF">2020-06-06T16:29:00Z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2020-06-05T00:00:00Z</vt:filetime>
  </property>
</Properties>
</file>